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Column Group IV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 BLDG D, SUITE DM-900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Eikon Therapeutics, Inc.</w:t>
              </w:r>
            </w:hyperlink>
            <w:r>
              <w:rPr/>
              <w:t xml:space="preserve"> [ </w:t>
            </w:r>
            <w:r>
              <w:rPr>
                <w:rFonts w:ascii="Times;serif" w:hAnsi="Times;serif"/>
                <w:color w:val="0000FF"/>
                <w:sz w:val="24"/>
                <w:shd w:fill="FFFFFF" w:val="clear"/>
              </w:rPr>
              <w:t>EIKN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68"/>
        <w:gridCol w:w="922"/>
        <w:gridCol w:w="793"/>
        <w:gridCol w:w="612"/>
        <w:gridCol w:w="333"/>
        <w:gridCol w:w="891"/>
        <w:gridCol w:w="400"/>
        <w:gridCol w:w="1001"/>
        <w:gridCol w:w="1225"/>
        <w:gridCol w:w="941"/>
        <w:gridCol w:w="13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89,200</w:t>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11.5588</w:t>
            </w:r>
            <w:r>
              <w:rPr>
                <w:rFonts w:ascii="Times;serif" w:hAnsi="Times;serif"/>
                <w:color w:val="008000"/>
                <w:position w:val="7"/>
                <w:sz w:val="16"/>
                <w:sz w:val="20"/>
                <w:shd w:fill="FFFFFF" w:val="clear"/>
              </w:rPr>
              <w:t>(1)</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89,200</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17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4,312,139</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Column Group IV, LP</w:t>
            </w:r>
            <w:r>
              <w:rPr>
                <w:rFonts w:ascii="Times;serif" w:hAnsi="Times;serif"/>
                <w:color w:val="008000"/>
                <w:position w:val="7"/>
                <w:sz w:val="16"/>
                <w:sz w:val="20"/>
                <w:shd w:fill="FFFFFF" w:val="clear"/>
              </w:rPr>
              <w:t>(3)</w:t>
            </w:r>
          </w:p>
        </w:tc>
      </w:tr>
      <w:tr>
        <w:trPr/>
        <w:tc>
          <w:tcPr>
            <w:tcW w:w="17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148,840</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Column Group IV-A, LP</w:t>
            </w:r>
            <w:r>
              <w:rPr>
                <w:rFonts w:ascii="Times;serif" w:hAnsi="Times;serif"/>
                <w:color w:val="008000"/>
                <w:position w:val="7"/>
                <w:sz w:val="16"/>
                <w:sz w:val="20"/>
                <w:shd w:fill="FFFFFF" w:val="clear"/>
              </w:rPr>
              <w:t>(4)</w:t>
            </w:r>
          </w:p>
        </w:tc>
      </w:tr>
      <w:tr>
        <w:trPr/>
        <w:tc>
          <w:tcPr>
            <w:tcW w:w="17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1,319,164</w:t>
            </w:r>
          </w:p>
        </w:tc>
        <w:tc>
          <w:tcPr>
            <w:tcW w:w="9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Column Group Opportunity III, LP</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Column Group IV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 BLDG D, SUITE DM-900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Column Group IV-A,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 BLDG D, SUITE DM-900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Column Group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 BLDG D, SUITE DM-900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Column Group Opportunity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 BLDG D, SUITE DM-900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Column Group Opportunity III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 BLDG D, SUITE DM-900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TCG Opportunity III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 BLDG D, SUITE DM-900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Kutzkey Tim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 BLDG D, SUITE DM-900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Svennilson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 BLDG D, SUITE DM-900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securities were purchased in multiple transactions at prices ranging from $11.17 to $11.64. The Reporting Person undertakes to provide to the Issuer, any security holder of the Issuer, or the staff of the Securities and Exchange Commission, upon request, full information regarding the number of securities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directly held by Peter Svennilson.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are directly held by The Column Group IV, LP ("TCG IV LP"). The Column Group IV GP, LP ("TCG IV GP LP") is the general partner of TCG IV LP and may be deemed to have voting and investment power with respect to securities directly held by TCG IV LP. Peter Svennilson and Tim Kutzkey are the managing partners of TCG IV GP LP and may each be deemed to share voting, investment and dispositive power with respect to securities directly held by TCG IV LP. Each of the Reporting Persons disclaims beneficial ownership of the securities noted herein, except to the extent of its or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securities are directly held by The Column Group IV-A, LP ("TCG IV-A LP"). TCG IV GP LP is the general partner of the TCG IV-A LP and may be deemed to have voting and investment power with respect to securities directly held by the Reporting Person. Peter Svennilson and Tim Kutzkey are the managing partners of TCG IV GP LP and may each be deemed to share voting, investment and dispositive power with respect to securities directly held by TCG IV-A LP. Each of the Reporting Persons disclaims beneficial ownership of the securities noted herein, except to the extent of its or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securities are directly held by The Column Group Opportunity III, LP ("TCG Opportunity III LP"). The Column Group Opportunity III GP, LP ("TCG Opportunity III GP LP") is the general partner of TCG Opportunity III LP. TCG Opportunity III GP, LLC is the general partner of TCG Opportunity III GP LP and the ultimate general partner of TCG Opportunity III LP. Each of TCG Opportunity III GP LP and TCG Opportunity III GP, LLC may be deemed to have voting, investment and dispositive power with respect to securities directly held by TCG Opportunity III LP. Peter Svennilson and Tim Kutzkey are the managing members of TCG Opportunity III GP, LLC and may each be deemed to share voting, investment and dispositive power with respect to securities directly held by TCG Opportunity III LP. Each of the Reporting Persons disclaims beneficial ownership of the securities noted herein, except to the extent of its or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The Column Group IV GP, LP, /s/ James Evangelista,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The Column Group IV-A, LP. by The Column Group IV GP, LP, its general partner, /s/ James Evangelista,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The Column Group IV, LP by The Column Group IV GP, LP, its general partner /s/ James Evangelista,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The Column Group Opportunity III, LP, by The Column Group Opportunity GP, LP its general partner, by TCG Opportunity III GP, LLC, its general partner, /s/ James Evangelista,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The Column Group Opportunity III GP, LP., by TCG Opportunity III GP, LLC, its general partner, /s/ James Evangelista,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TCG Opportunity III GP, LLC, /s/ James Evangelista,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/s/James Evangelista, as attorney-in-fact for Tim Kutzkey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/s/James Evangelista, as attorney-in-fact for Peter Svennilson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6356" TargetMode="External"/><Relationship Id="rId5" Type="http://schemas.openxmlformats.org/officeDocument/2006/relationships/hyperlink" Target="http://www.sec.gov/cgi-bin/browse-edgar?action=getcompany&amp;CIK=00018611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796356" TargetMode="External"/><Relationship Id="rId9" Type="http://schemas.openxmlformats.org/officeDocument/2006/relationships/hyperlink" Target="http://www.sec.gov/cgi-bin/browse-edgar?action=getcompany&amp;CIK=0001796353" TargetMode="External"/><Relationship Id="rId10" Type="http://schemas.openxmlformats.org/officeDocument/2006/relationships/hyperlink" Target="http://www.sec.gov/cgi-bin/browse-edgar?action=getcompany&amp;CIK=0001796354" TargetMode="External"/><Relationship Id="rId11" Type="http://schemas.openxmlformats.org/officeDocument/2006/relationships/hyperlink" Target="http://www.sec.gov/cgi-bin/browse-edgar?action=getcompany&amp;CIK=0001931825" TargetMode="External"/><Relationship Id="rId12" Type="http://schemas.openxmlformats.org/officeDocument/2006/relationships/hyperlink" Target="http://www.sec.gov/cgi-bin/browse-edgar?action=getcompany&amp;CIK=0001932874" TargetMode="External"/><Relationship Id="rId13" Type="http://schemas.openxmlformats.org/officeDocument/2006/relationships/hyperlink" Target="http://www.sec.gov/cgi-bin/browse-edgar?action=getcompany&amp;CIK=0001932445" TargetMode="External"/><Relationship Id="rId14" Type="http://schemas.openxmlformats.org/officeDocument/2006/relationships/hyperlink" Target="http://www.sec.gov/cgi-bin/browse-edgar?action=getcompany&amp;CIK=0001614186" TargetMode="External"/><Relationship Id="rId15" Type="http://schemas.openxmlformats.org/officeDocument/2006/relationships/hyperlink" Target="http://www.sec.gov/cgi-bin/browse-edgar?action=getcompany&amp;CIK=0001606074"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1422</Words>
  <Characters>7440</Characters>
  <CharactersWithSpaces>8661</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