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Eikon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Abu Dhabi Investment Authority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ARAB EMIRATES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1,147,138.00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1,147,138.00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1,147,138.00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percent calculation is based on 54,165,030 shares of Common Stock outstanding as of August 3, 2026, as disclosed in Eikon Therapeutics, Inc.'s Quarterly Report on Form 10-Q for the fiscal quarter ended June 30, 2026, filed with the U.S. Securities and Exchange Commission (the "SEC") on August 13, 2026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Platinum Falcon B 2018 RSC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ARAB EMIRATES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1,147,138.00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1,147,138.00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1,147,138.00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Platinum Falcon B 2018 RSC Limited ("Platinum Falcon") is the direct owner of 1,147,138 of the shares of Common Stock reported herein. Platinum Falcon is a wholly owned subsidiary of Abu Dhabi Investment Authority. Pursuant to the rules and regulations of the SEC, Abu Dhabi Investment Authority may be deemed to be the beneficial owner of the shares of Common Stock directly held by Platinum Falcon. (2) The percent calculation is based on 54,165,030 shares of Common Stock outstanding as of August 3, 2026, as disclosed in Eikon Therapeutics, Inc.'s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05"/>
        <w:gridCol w:w="9100"/>
      </w:tblGrid>
      <w:tr>
        <w:trPr/>
        <w:tc>
          <w:tcPr>
            <w:tcW w:w="1105" w:type="dxa"/>
            <w:tcBorders/>
            <w:vAlign w:val="center"/>
          </w:tcPr>
          <w:p>
            <w:pPr>
              <w:pStyle w:val="TableContents"/>
              <w:bidi w:val="0"/>
              <w:spacing w:before="0" w:after="283"/>
              <w:jc w:val="left"/>
              <w:rPr/>
            </w:pPr>
            <w:r>
              <w:rPr/>
              <w:t>Item 1.</w:t>
            </w:r>
          </w:p>
        </w:tc>
        <w:tc>
          <w:tcPr>
            <w:tcW w:w="9100" w:type="dxa"/>
            <w:tcBorders/>
            <w:vAlign w:val="center"/>
          </w:tcPr>
          <w:p>
            <w:pPr>
              <w:pStyle w:val="TableContents"/>
              <w:bidi w:val="0"/>
              <w:spacing w:before="0" w:after="283"/>
              <w:jc w:val="left"/>
              <w:rPr/>
            </w:pPr>
            <w:r>
              <w:rPr/>
              <w:t> </w:t>
            </w:r>
          </w:p>
        </w:tc>
      </w:tr>
      <w:tr>
        <w:trPr/>
        <w:tc>
          <w:tcPr>
            <w:tcW w:w="1105" w:type="dxa"/>
            <w:tcBorders/>
            <w:vAlign w:val="center"/>
          </w:tcPr>
          <w:p>
            <w:pPr>
              <w:pStyle w:val="TableContents"/>
              <w:bidi w:val="0"/>
              <w:spacing w:before="0" w:after="283"/>
              <w:jc w:val="left"/>
              <w:rPr/>
            </w:pPr>
            <w:r>
              <w:rPr/>
              <w:t>(a)</w:t>
            </w:r>
          </w:p>
        </w:tc>
        <w:tc>
          <w:tcPr>
            <w:tcW w:w="9100" w:type="dxa"/>
            <w:tcBorders/>
            <w:vAlign w:val="center"/>
          </w:tcPr>
          <w:p>
            <w:pPr>
              <w:pStyle w:val="TableContents"/>
              <w:bidi w:val="0"/>
              <w:jc w:val="left"/>
              <w:rPr/>
            </w:pPr>
            <w:r>
              <w:rPr/>
              <w:t xml:space="preserve">Name of issuer: </w:t>
            </w:r>
          </w:p>
          <w:p>
            <w:pPr>
              <w:pStyle w:val="TableContents"/>
              <w:bidi w:val="0"/>
              <w:spacing w:before="0" w:after="0"/>
              <w:jc w:val="left"/>
              <w:rPr/>
            </w:pPr>
            <w:r>
              <w:rPr/>
              <w:t>Eikon Therapeutics, Inc.</w:t>
            </w:r>
          </w:p>
        </w:tc>
      </w:tr>
      <w:tr>
        <w:trPr/>
        <w:tc>
          <w:tcPr>
            <w:tcW w:w="1105" w:type="dxa"/>
            <w:tcBorders/>
            <w:vAlign w:val="center"/>
          </w:tcPr>
          <w:p>
            <w:pPr>
              <w:pStyle w:val="TableContents"/>
              <w:bidi w:val="0"/>
              <w:spacing w:before="0" w:after="283"/>
              <w:jc w:val="left"/>
              <w:rPr/>
            </w:pPr>
            <w:r>
              <w:rPr/>
              <w:t>(b)</w:t>
            </w:r>
          </w:p>
        </w:tc>
        <w:tc>
          <w:tcPr>
            <w:tcW w:w="910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230 Harriet Tubman Way, Millbrae CA 94030</w:t>
            </w:r>
          </w:p>
        </w:tc>
      </w:tr>
      <w:tr>
        <w:trPr/>
        <w:tc>
          <w:tcPr>
            <w:tcW w:w="1105" w:type="dxa"/>
            <w:tcBorders/>
            <w:vAlign w:val="center"/>
          </w:tcPr>
          <w:p>
            <w:pPr>
              <w:pStyle w:val="TableContents"/>
              <w:bidi w:val="0"/>
              <w:spacing w:before="0" w:after="283"/>
              <w:jc w:val="left"/>
              <w:rPr/>
            </w:pPr>
            <w:r>
              <w:rPr/>
              <w:t>Item 2.</w:t>
            </w:r>
          </w:p>
        </w:tc>
        <w:tc>
          <w:tcPr>
            <w:tcW w:w="9100" w:type="dxa"/>
            <w:tcBorders/>
            <w:vAlign w:val="center"/>
          </w:tcPr>
          <w:p>
            <w:pPr>
              <w:pStyle w:val="TableContents"/>
              <w:bidi w:val="0"/>
              <w:spacing w:before="0" w:after="283"/>
              <w:jc w:val="left"/>
              <w:rPr/>
            </w:pPr>
            <w:r>
              <w:rPr/>
              <w:t> </w:t>
            </w:r>
          </w:p>
        </w:tc>
      </w:tr>
      <w:tr>
        <w:trPr/>
        <w:tc>
          <w:tcPr>
            <w:tcW w:w="1105" w:type="dxa"/>
            <w:tcBorders/>
            <w:vAlign w:val="center"/>
          </w:tcPr>
          <w:p>
            <w:pPr>
              <w:pStyle w:val="TableContents"/>
              <w:bidi w:val="0"/>
              <w:spacing w:before="0" w:after="283"/>
              <w:jc w:val="left"/>
              <w:rPr/>
            </w:pPr>
            <w:r>
              <w:rPr/>
              <w:t>(a)</w:t>
            </w:r>
          </w:p>
        </w:tc>
        <w:tc>
          <w:tcPr>
            <w:tcW w:w="910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13G/A is being filed on behalf of the following: 1. Abu Dhabi Investment Authority 2. Platinum Falcon B 2018 RSC Limited</w:t>
            </w:r>
          </w:p>
        </w:tc>
      </w:tr>
      <w:tr>
        <w:trPr/>
        <w:tc>
          <w:tcPr>
            <w:tcW w:w="1105" w:type="dxa"/>
            <w:tcBorders/>
            <w:vAlign w:val="center"/>
          </w:tcPr>
          <w:p>
            <w:pPr>
              <w:pStyle w:val="TableContents"/>
              <w:bidi w:val="0"/>
              <w:spacing w:before="0" w:after="283"/>
              <w:jc w:val="left"/>
              <w:rPr/>
            </w:pPr>
            <w:r>
              <w:rPr/>
              <w:t>(b)</w:t>
            </w:r>
          </w:p>
        </w:tc>
        <w:tc>
          <w:tcPr>
            <w:tcW w:w="910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is as follows: 1. 211 Corniche Street P.O. Box 3600 Abu Dhabi, United Arab Emirates 3600 2. Level 26, Al Khatem Tower Abu Dhabi Global Market Square Al Maryah Island, Abu Dhabi United Arab Emirates</w:t>
            </w:r>
          </w:p>
        </w:tc>
      </w:tr>
      <w:tr>
        <w:trPr/>
        <w:tc>
          <w:tcPr>
            <w:tcW w:w="1105" w:type="dxa"/>
            <w:tcBorders/>
            <w:vAlign w:val="center"/>
          </w:tcPr>
          <w:p>
            <w:pPr>
              <w:pStyle w:val="TableContents"/>
              <w:bidi w:val="0"/>
              <w:spacing w:before="0" w:after="283"/>
              <w:jc w:val="left"/>
              <w:rPr/>
            </w:pPr>
            <w:r>
              <w:rPr/>
              <w:t>(c)</w:t>
            </w:r>
          </w:p>
        </w:tc>
        <w:tc>
          <w:tcPr>
            <w:tcW w:w="9100" w:type="dxa"/>
            <w:tcBorders/>
            <w:vAlign w:val="center"/>
          </w:tcPr>
          <w:p>
            <w:pPr>
              <w:pStyle w:val="TableContents"/>
              <w:bidi w:val="0"/>
              <w:jc w:val="left"/>
              <w:rPr/>
            </w:pPr>
            <w:r>
              <w:rPr/>
              <w:t xml:space="preserve">Citizenship: </w:t>
            </w:r>
          </w:p>
          <w:p>
            <w:pPr>
              <w:pStyle w:val="TableContents"/>
              <w:bidi w:val="0"/>
              <w:spacing w:before="0" w:after="0"/>
              <w:jc w:val="left"/>
              <w:rPr/>
            </w:pPr>
            <w:r>
              <w:rPr/>
              <w:t>1. Abu Dhabi Investment Authority (ADIA) is a public institution established by the Government of the Emirate of Abu Dhabi in 1976 as an independent investment institution. 2. Platinum Falcon B 2018 RSC Limited is a restricted scope company organized under the laws of the Abu Dhabi Global Market, Abu Dhabi, United Arab Emirates.</w:t>
            </w:r>
          </w:p>
        </w:tc>
      </w:tr>
      <w:tr>
        <w:trPr/>
        <w:tc>
          <w:tcPr>
            <w:tcW w:w="1105" w:type="dxa"/>
            <w:tcBorders/>
            <w:vAlign w:val="center"/>
          </w:tcPr>
          <w:p>
            <w:pPr>
              <w:pStyle w:val="TableContents"/>
              <w:bidi w:val="0"/>
              <w:spacing w:before="0" w:after="283"/>
              <w:jc w:val="left"/>
              <w:rPr/>
            </w:pPr>
            <w:r>
              <w:rPr/>
              <w:t>(d)</w:t>
            </w:r>
          </w:p>
        </w:tc>
        <w:tc>
          <w:tcPr>
            <w:tcW w:w="910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r>
      <w:tr>
        <w:trPr/>
        <w:tc>
          <w:tcPr>
            <w:tcW w:w="1105" w:type="dxa"/>
            <w:tcBorders/>
            <w:vAlign w:val="center"/>
          </w:tcPr>
          <w:p>
            <w:pPr>
              <w:pStyle w:val="TableContents"/>
              <w:bidi w:val="0"/>
              <w:spacing w:before="0" w:after="283"/>
              <w:jc w:val="left"/>
              <w:rPr/>
            </w:pPr>
            <w:r>
              <w:rPr/>
              <w:t>(e)</w:t>
            </w:r>
          </w:p>
        </w:tc>
        <w:tc>
          <w:tcPr>
            <w:tcW w:w="9100" w:type="dxa"/>
            <w:tcBorders/>
            <w:vAlign w:val="center"/>
          </w:tcPr>
          <w:p>
            <w:pPr>
              <w:pStyle w:val="TableContents"/>
              <w:bidi w:val="0"/>
              <w:spacing w:before="0" w:after="283"/>
              <w:jc w:val="left"/>
              <w:rPr/>
            </w:pPr>
            <w:r>
              <w:rPr/>
              <w:t xml:space="preserve">CUSIP No.: </w:t>
            </w:r>
          </w:p>
        </w:tc>
      </w:tr>
      <w:tr>
        <w:trPr/>
        <w:tc>
          <w:tcPr>
            <w:tcW w:w="1105" w:type="dxa"/>
            <w:tcBorders/>
            <w:vAlign w:val="center"/>
          </w:tcPr>
          <w:p>
            <w:pPr>
              <w:pStyle w:val="TableContents"/>
              <w:bidi w:val="0"/>
              <w:spacing w:before="0" w:after="283"/>
              <w:jc w:val="left"/>
              <w:rPr/>
            </w:pPr>
            <w:r>
              <w:rPr/>
              <w:t>Item 4.</w:t>
            </w:r>
          </w:p>
        </w:tc>
        <w:tc>
          <w:tcPr>
            <w:tcW w:w="9100" w:type="dxa"/>
            <w:tcBorders/>
            <w:vAlign w:val="center"/>
          </w:tcPr>
          <w:p>
            <w:pPr>
              <w:pStyle w:val="TableContents"/>
              <w:bidi w:val="0"/>
              <w:spacing w:before="0" w:after="283"/>
              <w:jc w:val="left"/>
              <w:rPr/>
            </w:pPr>
            <w:r>
              <w:rPr/>
              <w:t>Ownership</w:t>
            </w:r>
          </w:p>
        </w:tc>
      </w:tr>
      <w:tr>
        <w:trPr/>
        <w:tc>
          <w:tcPr>
            <w:tcW w:w="1105" w:type="dxa"/>
            <w:tcBorders/>
            <w:vAlign w:val="center"/>
          </w:tcPr>
          <w:p>
            <w:pPr>
              <w:pStyle w:val="TableContents"/>
              <w:bidi w:val="0"/>
              <w:spacing w:before="0" w:after="283"/>
              <w:jc w:val="left"/>
              <w:rPr/>
            </w:pPr>
            <w:r>
              <w:rPr/>
              <w:t>(a)</w:t>
            </w:r>
          </w:p>
        </w:tc>
        <w:tc>
          <w:tcPr>
            <w:tcW w:w="910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responses to Item 9 on each cover page.</w:t>
            </w:r>
          </w:p>
        </w:tc>
      </w:tr>
      <w:tr>
        <w:trPr/>
        <w:tc>
          <w:tcPr>
            <w:tcW w:w="1105" w:type="dxa"/>
            <w:tcBorders/>
            <w:vAlign w:val="center"/>
          </w:tcPr>
          <w:p>
            <w:pPr>
              <w:pStyle w:val="TableContents"/>
              <w:bidi w:val="0"/>
              <w:spacing w:before="0" w:after="283"/>
              <w:jc w:val="left"/>
              <w:rPr/>
            </w:pPr>
            <w:r>
              <w:rPr/>
              <w:t>(b)</w:t>
            </w:r>
          </w:p>
        </w:tc>
        <w:tc>
          <w:tcPr>
            <w:tcW w:w="910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responses to Item 11 on each cover page.  % </w:t>
            </w:r>
          </w:p>
        </w:tc>
      </w:tr>
      <w:tr>
        <w:trPr/>
        <w:tc>
          <w:tcPr>
            <w:tcW w:w="1105" w:type="dxa"/>
            <w:tcBorders/>
            <w:vAlign w:val="center"/>
          </w:tcPr>
          <w:p>
            <w:pPr>
              <w:pStyle w:val="TableContents"/>
              <w:bidi w:val="0"/>
              <w:spacing w:before="0" w:after="283"/>
              <w:jc w:val="left"/>
              <w:rPr/>
            </w:pPr>
            <w:r>
              <w:rPr/>
              <w:t>(c)</w:t>
            </w:r>
          </w:p>
        </w:tc>
        <w:tc>
          <w:tcPr>
            <w:tcW w:w="9100" w:type="dxa"/>
            <w:tcBorders/>
            <w:vAlign w:val="center"/>
          </w:tcPr>
          <w:p>
            <w:pPr>
              <w:pStyle w:val="TableContents"/>
              <w:bidi w:val="0"/>
              <w:spacing w:before="0" w:after="283"/>
              <w:jc w:val="left"/>
              <w:rPr/>
            </w:pPr>
            <w:r>
              <w:rPr/>
              <w:t xml:space="preserve">Number of shares as to which the person has: </w:t>
            </w:r>
          </w:p>
        </w:tc>
      </w:tr>
      <w:tr>
        <w:trPr/>
        <w:tc>
          <w:tcPr>
            <w:tcW w:w="1105" w:type="dxa"/>
            <w:tcBorders/>
            <w:vAlign w:val="center"/>
          </w:tcPr>
          <w:p>
            <w:pPr>
              <w:pStyle w:val="TableContents"/>
              <w:bidi w:val="0"/>
              <w:spacing w:before="0" w:after="283"/>
              <w:jc w:val="left"/>
              <w:rPr/>
            </w:pPr>
            <w:r>
              <w:rPr/>
              <w:t> </w:t>
            </w:r>
          </w:p>
        </w:tc>
        <w:tc>
          <w:tcPr>
            <w:tcW w:w="910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responses to Item 5 on each cover page.</w:t>
            </w:r>
          </w:p>
          <w:p>
            <w:pPr>
              <w:pStyle w:val="TableContents"/>
              <w:bidi w:val="0"/>
              <w:spacing w:before="0" w:after="0"/>
              <w:jc w:val="left"/>
              <w:rPr/>
            </w:pPr>
            <w:r>
              <w:rPr/>
            </w:r>
          </w:p>
        </w:tc>
      </w:tr>
      <w:tr>
        <w:trPr/>
        <w:tc>
          <w:tcPr>
            <w:tcW w:w="1105" w:type="dxa"/>
            <w:tcBorders/>
            <w:vAlign w:val="center"/>
          </w:tcPr>
          <w:p>
            <w:pPr>
              <w:pStyle w:val="TableContents"/>
              <w:bidi w:val="0"/>
              <w:spacing w:before="0" w:after="283"/>
              <w:jc w:val="left"/>
              <w:rPr/>
            </w:pPr>
            <w:r>
              <w:rPr/>
              <w:t> </w:t>
            </w:r>
          </w:p>
        </w:tc>
        <w:tc>
          <w:tcPr>
            <w:tcW w:w="910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responses to Item 6 on each cover page.</w:t>
            </w:r>
          </w:p>
          <w:p>
            <w:pPr>
              <w:pStyle w:val="TableContents"/>
              <w:bidi w:val="0"/>
              <w:spacing w:before="0" w:after="0"/>
              <w:jc w:val="left"/>
              <w:rPr/>
            </w:pPr>
            <w:r>
              <w:rPr/>
            </w:r>
          </w:p>
        </w:tc>
      </w:tr>
      <w:tr>
        <w:trPr/>
        <w:tc>
          <w:tcPr>
            <w:tcW w:w="1105" w:type="dxa"/>
            <w:tcBorders/>
            <w:vAlign w:val="center"/>
          </w:tcPr>
          <w:p>
            <w:pPr>
              <w:pStyle w:val="TableContents"/>
              <w:bidi w:val="0"/>
              <w:spacing w:before="0" w:after="283"/>
              <w:jc w:val="left"/>
              <w:rPr/>
            </w:pPr>
            <w:r>
              <w:rPr/>
              <w:t> </w:t>
            </w:r>
          </w:p>
        </w:tc>
        <w:tc>
          <w:tcPr>
            <w:tcW w:w="910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responses to Item 7 on each cover page.</w:t>
            </w:r>
          </w:p>
          <w:p>
            <w:pPr>
              <w:pStyle w:val="TableContents"/>
              <w:bidi w:val="0"/>
              <w:spacing w:before="0" w:after="0"/>
              <w:jc w:val="left"/>
              <w:rPr/>
            </w:pPr>
            <w:r>
              <w:rPr/>
            </w:r>
          </w:p>
        </w:tc>
      </w:tr>
      <w:tr>
        <w:trPr/>
        <w:tc>
          <w:tcPr>
            <w:tcW w:w="1105" w:type="dxa"/>
            <w:tcBorders/>
            <w:vAlign w:val="center"/>
          </w:tcPr>
          <w:p>
            <w:pPr>
              <w:pStyle w:val="TableContents"/>
              <w:bidi w:val="0"/>
              <w:spacing w:before="0" w:after="283"/>
              <w:jc w:val="left"/>
              <w:rPr/>
            </w:pPr>
            <w:r>
              <w:rPr/>
              <w:t> </w:t>
            </w:r>
          </w:p>
        </w:tc>
        <w:tc>
          <w:tcPr>
            <w:tcW w:w="910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responses to Item 8 on each cover page.</w:t>
            </w:r>
          </w:p>
          <w:p>
            <w:pPr>
              <w:pStyle w:val="TableContents"/>
              <w:bidi w:val="0"/>
              <w:spacing w:before="0" w:after="0"/>
              <w:jc w:val="left"/>
              <w:rPr/>
            </w:pPr>
            <w:r>
              <w:rPr/>
            </w:r>
          </w:p>
        </w:tc>
      </w:tr>
      <w:tr>
        <w:trPr/>
        <w:tc>
          <w:tcPr>
            <w:tcW w:w="1105" w:type="dxa"/>
            <w:tcBorders/>
            <w:vAlign w:val="center"/>
          </w:tcPr>
          <w:p>
            <w:pPr>
              <w:pStyle w:val="TableContents"/>
              <w:bidi w:val="0"/>
              <w:spacing w:before="0" w:after="283"/>
              <w:jc w:val="left"/>
              <w:rPr/>
            </w:pPr>
            <w:r>
              <w:rPr/>
              <w:t>Item 5.</w:t>
            </w:r>
          </w:p>
        </w:tc>
        <w:tc>
          <w:tcPr>
            <w:tcW w:w="9100" w:type="dxa"/>
            <w:tcBorders/>
            <w:vAlign w:val="center"/>
          </w:tcPr>
          <w:p>
            <w:pPr>
              <w:pStyle w:val="TableContents"/>
              <w:bidi w:val="0"/>
              <w:spacing w:before="0" w:after="283"/>
              <w:jc w:val="left"/>
              <w:rPr/>
            </w:pPr>
            <w:r>
              <w:rPr/>
              <w:t>Ownership of 5 Percent or Less of a Class.</w:t>
            </w:r>
          </w:p>
        </w:tc>
      </w:tr>
      <w:tr>
        <w:trPr/>
        <w:tc>
          <w:tcPr>
            <w:tcW w:w="1105" w:type="dxa"/>
            <w:tcBorders/>
            <w:vAlign w:val="center"/>
          </w:tcPr>
          <w:p>
            <w:pPr>
              <w:pStyle w:val="TableContents"/>
              <w:bidi w:val="0"/>
              <w:spacing w:before="0" w:after="283"/>
              <w:jc w:val="left"/>
              <w:rPr/>
            </w:pPr>
            <w:r>
              <w:rPr/>
              <w:t> </w:t>
            </w:r>
          </w:p>
        </w:tc>
        <w:tc>
          <w:tcPr>
            <w:tcW w:w="9100" w:type="dxa"/>
            <w:tcBorders/>
            <w:vAlign w:val="center"/>
          </w:tcPr>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05" w:type="dxa"/>
            <w:tcBorders/>
            <w:vAlign w:val="center"/>
          </w:tcPr>
          <w:p>
            <w:pPr>
              <w:pStyle w:val="TableContents"/>
              <w:bidi w:val="0"/>
              <w:spacing w:before="0" w:after="283"/>
              <w:jc w:val="left"/>
              <w:rPr/>
            </w:pPr>
            <w:r>
              <w:rPr/>
              <w:t>Item 6.</w:t>
            </w:r>
          </w:p>
        </w:tc>
        <w:tc>
          <w:tcPr>
            <w:tcW w:w="9100" w:type="dxa"/>
            <w:tcBorders/>
            <w:vAlign w:val="center"/>
          </w:tcPr>
          <w:p>
            <w:pPr>
              <w:pStyle w:val="TableContents"/>
              <w:bidi w:val="0"/>
              <w:spacing w:before="0" w:after="283"/>
              <w:jc w:val="left"/>
              <w:rPr/>
            </w:pPr>
            <w:r>
              <w:rPr/>
              <w:t>Ownership of more than 5 Percent on Behalf of Another Person.</w:t>
            </w:r>
          </w:p>
        </w:tc>
      </w:tr>
      <w:tr>
        <w:trPr/>
        <w:tc>
          <w:tcPr>
            <w:tcW w:w="1105" w:type="dxa"/>
            <w:tcBorders/>
            <w:vAlign w:val="center"/>
          </w:tcPr>
          <w:p>
            <w:pPr>
              <w:pStyle w:val="TableContents"/>
              <w:bidi w:val="0"/>
              <w:spacing w:before="0" w:after="283"/>
              <w:jc w:val="left"/>
              <w:rPr/>
            </w:pPr>
            <w:r>
              <w:rPr/>
              <w:t> </w:t>
            </w:r>
          </w:p>
        </w:tc>
        <w:tc>
          <w:tcPr>
            <w:tcW w:w="9100" w:type="dxa"/>
            <w:tcBorders/>
            <w:vAlign w:val="center"/>
          </w:tcPr>
          <w:p>
            <w:pPr>
              <w:pStyle w:val="TableContents"/>
              <w:bidi w:val="0"/>
              <w:spacing w:before="0" w:after="0"/>
              <w:jc w:val="left"/>
              <w:rPr/>
            </w:pPr>
            <w:r>
              <w:rPr/>
              <w:t xml:space="preserve">Not Applicable </w:t>
            </w:r>
          </w:p>
        </w:tc>
      </w:tr>
      <w:tr>
        <w:trPr/>
        <w:tc>
          <w:tcPr>
            <w:tcW w:w="1105" w:type="dxa"/>
            <w:tcBorders/>
            <w:vAlign w:val="center"/>
          </w:tcPr>
          <w:p>
            <w:pPr>
              <w:pStyle w:val="TableContents"/>
              <w:bidi w:val="0"/>
              <w:spacing w:before="0" w:after="283"/>
              <w:jc w:val="left"/>
              <w:rPr/>
            </w:pPr>
            <w:r>
              <w:rPr/>
              <w:t>Item 7.</w:t>
            </w:r>
          </w:p>
        </w:tc>
        <w:tc>
          <w:tcPr>
            <w:tcW w:w="910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05" w:type="dxa"/>
            <w:tcBorders/>
            <w:vAlign w:val="center"/>
          </w:tcPr>
          <w:p>
            <w:pPr>
              <w:pStyle w:val="TableContents"/>
              <w:bidi w:val="0"/>
              <w:spacing w:before="0" w:after="283"/>
              <w:jc w:val="left"/>
              <w:rPr/>
            </w:pPr>
            <w:r>
              <w:rPr/>
              <w:t> </w:t>
            </w:r>
          </w:p>
        </w:tc>
        <w:tc>
          <w:tcPr>
            <w:tcW w:w="9100" w:type="dxa"/>
            <w:tcBorders/>
            <w:vAlign w:val="center"/>
          </w:tcPr>
          <w:p>
            <w:pPr>
              <w:pStyle w:val="TableContents"/>
              <w:bidi w:val="0"/>
              <w:spacing w:before="0" w:after="0"/>
              <w:jc w:val="left"/>
              <w:rPr/>
            </w:pPr>
            <w:r>
              <w:rPr/>
              <w:t xml:space="preserve">Not Applicable </w:t>
            </w:r>
          </w:p>
        </w:tc>
      </w:tr>
      <w:tr>
        <w:trPr/>
        <w:tc>
          <w:tcPr>
            <w:tcW w:w="1105" w:type="dxa"/>
            <w:tcBorders/>
            <w:vAlign w:val="center"/>
          </w:tcPr>
          <w:p>
            <w:pPr>
              <w:pStyle w:val="TableContents"/>
              <w:bidi w:val="0"/>
              <w:spacing w:before="0" w:after="283"/>
              <w:jc w:val="left"/>
              <w:rPr/>
            </w:pPr>
            <w:r>
              <w:rPr/>
              <w:t>Item 8.</w:t>
            </w:r>
          </w:p>
        </w:tc>
        <w:tc>
          <w:tcPr>
            <w:tcW w:w="9100" w:type="dxa"/>
            <w:tcBorders/>
            <w:vAlign w:val="center"/>
          </w:tcPr>
          <w:p>
            <w:pPr>
              <w:pStyle w:val="TableContents"/>
              <w:bidi w:val="0"/>
              <w:spacing w:before="0" w:after="283"/>
              <w:jc w:val="left"/>
              <w:rPr/>
            </w:pPr>
            <w:r>
              <w:rPr/>
              <w:t>Identification and Classification of Members of the Group.</w:t>
            </w:r>
          </w:p>
        </w:tc>
      </w:tr>
      <w:tr>
        <w:trPr/>
        <w:tc>
          <w:tcPr>
            <w:tcW w:w="1105" w:type="dxa"/>
            <w:tcBorders/>
            <w:vAlign w:val="center"/>
          </w:tcPr>
          <w:p>
            <w:pPr>
              <w:pStyle w:val="TableContents"/>
              <w:bidi w:val="0"/>
              <w:spacing w:before="0" w:after="283"/>
              <w:jc w:val="left"/>
              <w:rPr/>
            </w:pPr>
            <w:r>
              <w:rPr/>
              <w:t> </w:t>
            </w:r>
          </w:p>
        </w:tc>
        <w:tc>
          <w:tcPr>
            <w:tcW w:w="9100" w:type="dxa"/>
            <w:tcBorders/>
            <w:vAlign w:val="center"/>
          </w:tcPr>
          <w:p>
            <w:pPr>
              <w:pStyle w:val="TableContents"/>
              <w:bidi w:val="0"/>
              <w:spacing w:before="0" w:after="0"/>
              <w:jc w:val="left"/>
              <w:rPr/>
            </w:pPr>
            <w:r>
              <w:rPr/>
              <w:t xml:space="preserve">Not Applicable </w:t>
            </w:r>
          </w:p>
        </w:tc>
      </w:tr>
      <w:tr>
        <w:trPr/>
        <w:tc>
          <w:tcPr>
            <w:tcW w:w="1105" w:type="dxa"/>
            <w:tcBorders/>
            <w:vAlign w:val="center"/>
          </w:tcPr>
          <w:p>
            <w:pPr>
              <w:pStyle w:val="TableContents"/>
              <w:bidi w:val="0"/>
              <w:spacing w:before="0" w:after="283"/>
              <w:jc w:val="left"/>
              <w:rPr/>
            </w:pPr>
            <w:r>
              <w:rPr/>
              <w:t>Item 9.</w:t>
            </w:r>
          </w:p>
        </w:tc>
        <w:tc>
          <w:tcPr>
            <w:tcW w:w="9100" w:type="dxa"/>
            <w:tcBorders/>
            <w:vAlign w:val="center"/>
          </w:tcPr>
          <w:p>
            <w:pPr>
              <w:pStyle w:val="TableContents"/>
              <w:bidi w:val="0"/>
              <w:spacing w:before="0" w:after="283"/>
              <w:jc w:val="left"/>
              <w:rPr/>
            </w:pPr>
            <w:r>
              <w:rPr/>
              <w:t>Notice of Dissolution of Group.</w:t>
            </w:r>
          </w:p>
        </w:tc>
      </w:tr>
      <w:tr>
        <w:trPr/>
        <w:tc>
          <w:tcPr>
            <w:tcW w:w="1105" w:type="dxa"/>
            <w:tcBorders/>
            <w:vAlign w:val="center"/>
          </w:tcPr>
          <w:p>
            <w:pPr>
              <w:pStyle w:val="TableContents"/>
              <w:bidi w:val="0"/>
              <w:spacing w:before="0" w:after="283"/>
              <w:jc w:val="left"/>
              <w:rPr/>
            </w:pPr>
            <w:r>
              <w:rPr/>
              <w:t> </w:t>
            </w:r>
          </w:p>
        </w:tc>
        <w:tc>
          <w:tcPr>
            <w:tcW w:w="9100"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Abu Dhabi Investment Authority</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7"/>
        <w:gridCol w:w="4158"/>
      </w:tblGrid>
      <w:tr>
        <w:trPr/>
        <w:tc>
          <w:tcPr>
            <w:tcW w:w="60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Saif Almashghouni</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Saif Almashghouni / Authorized Signatory</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10/02/2026</w:t>
                  </w:r>
                </w:p>
              </w:tc>
            </w:tr>
          </w:tbl>
          <w:p>
            <w:pPr>
              <w:pStyle w:val="TableContents"/>
              <w:bidi w:val="0"/>
              <w:spacing w:before="0" w:after="283"/>
              <w:jc w:val="left"/>
              <w:rPr/>
            </w:pPr>
            <w:r>
              <w:rPr/>
            </w:r>
          </w:p>
        </w:tc>
        <w:tc>
          <w:tcPr>
            <w:tcW w:w="41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4"/>
        <w:gridCol w:w="4251"/>
      </w:tblGrid>
      <w:tr>
        <w:trPr/>
        <w:tc>
          <w:tcPr>
            <w:tcW w:w="59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Ahmed AlNeyadi</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Ahmed AlNeyadi / Authorized Signatory</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10/02/2026</w:t>
                  </w:r>
                </w:p>
              </w:tc>
            </w:tr>
          </w:tbl>
          <w:p>
            <w:pPr>
              <w:pStyle w:val="TableContents"/>
              <w:bidi w:val="0"/>
              <w:spacing w:before="0" w:after="283"/>
              <w:jc w:val="left"/>
              <w:rPr/>
            </w:pPr>
            <w:r>
              <w:rPr/>
            </w:r>
          </w:p>
        </w:tc>
        <w:tc>
          <w:tcPr>
            <w:tcW w:w="4251" w:type="dxa"/>
            <w:tcBorders/>
            <w:vAlign w:val="center"/>
          </w:tcPr>
          <w:p>
            <w:pPr>
              <w:pStyle w:val="TableContents"/>
              <w:bidi w:val="0"/>
              <w:spacing w:before="0" w:after="283"/>
              <w:jc w:val="left"/>
              <w:rPr>
                <w:sz w:val="4"/>
                <w:szCs w:val="4"/>
              </w:rPr>
            </w:pPr>
            <w:r>
              <w:rPr>
                <w:sz w:val="4"/>
                <w:szCs w:val="4"/>
              </w:rPr>
            </w:r>
          </w:p>
        </w:tc>
      </w:tr>
    </w:tbl>
    <w:tbl>
      <w:tblPr>
        <w:tblW w:w="7942" w:type="dxa"/>
        <w:jc w:val="left"/>
        <w:tblInd w:w="0" w:type="dxa"/>
        <w:tblLayout w:type="fixed"/>
        <w:tblCellMar>
          <w:top w:w="28" w:type="dxa"/>
          <w:left w:w="28" w:type="dxa"/>
          <w:bottom w:w="28" w:type="dxa"/>
          <w:right w:w="28" w:type="dxa"/>
        </w:tblCellMar>
      </w:tblPr>
      <w:tblGrid>
        <w:gridCol w:w="3971"/>
        <w:gridCol w:w="3971"/>
      </w:tblGrid>
      <w:tr>
        <w:trPr/>
        <w:tc>
          <w:tcPr>
            <w:tcW w:w="3971" w:type="dxa"/>
            <w:tcBorders/>
            <w:vAlign w:val="center"/>
          </w:tcPr>
          <w:p>
            <w:pPr>
              <w:pStyle w:val="TableContents"/>
              <w:bidi w:val="0"/>
              <w:spacing w:before="0" w:after="0"/>
              <w:jc w:val="left"/>
              <w:rPr/>
            </w:pPr>
            <w:r>
              <w:rPr/>
              <w:t> </w:t>
            </w:r>
          </w:p>
          <w:tbl>
            <w:tblPr>
              <w:tblW w:w="3796" w:type="dxa"/>
              <w:jc w:val="left"/>
              <w:tblInd w:w="0" w:type="dxa"/>
              <w:tblLayout w:type="fixed"/>
              <w:tblCellMar>
                <w:top w:w="28" w:type="dxa"/>
                <w:left w:w="28" w:type="dxa"/>
                <w:bottom w:w="28" w:type="dxa"/>
                <w:right w:w="28" w:type="dxa"/>
              </w:tblCellMar>
            </w:tblPr>
            <w:tblGrid>
              <w:gridCol w:w="3796"/>
            </w:tblGrid>
            <w:tr>
              <w:trPr/>
              <w:tc>
                <w:tcPr>
                  <w:tcW w:w="3796" w:type="dxa"/>
                  <w:tcBorders/>
                  <w:vAlign w:val="center"/>
                </w:tcPr>
                <w:p>
                  <w:pPr>
                    <w:pStyle w:val="TableContents"/>
                    <w:bidi w:val="0"/>
                    <w:spacing w:before="0" w:after="0"/>
                    <w:jc w:val="left"/>
                    <w:rPr/>
                  </w:pPr>
                  <w:r>
                    <w:rPr/>
                    <w:t>Platinum Falcon B 2018 RSC Limited</w:t>
                  </w:r>
                </w:p>
              </w:tc>
            </w:tr>
          </w:tbl>
          <w:p>
            <w:pPr>
              <w:pStyle w:val="TableContents"/>
              <w:bidi w:val="0"/>
              <w:spacing w:before="0" w:after="283"/>
              <w:jc w:val="left"/>
              <w:rPr/>
            </w:pPr>
            <w:r>
              <w:rPr/>
            </w:r>
          </w:p>
        </w:tc>
        <w:tc>
          <w:tcPr>
            <w:tcW w:w="39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7"/>
        <w:gridCol w:w="4158"/>
      </w:tblGrid>
      <w:tr>
        <w:trPr/>
        <w:tc>
          <w:tcPr>
            <w:tcW w:w="60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Saif Almashghouni</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Saif Almashghouni / Authorized Signatory</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10/02/2026</w:t>
                  </w:r>
                </w:p>
              </w:tc>
            </w:tr>
          </w:tbl>
          <w:p>
            <w:pPr>
              <w:pStyle w:val="TableContents"/>
              <w:bidi w:val="0"/>
              <w:spacing w:before="0" w:after="283"/>
              <w:jc w:val="left"/>
              <w:rPr/>
            </w:pPr>
            <w:r>
              <w:rPr/>
            </w:r>
          </w:p>
        </w:tc>
        <w:tc>
          <w:tcPr>
            <w:tcW w:w="41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4"/>
        <w:gridCol w:w="4251"/>
      </w:tblGrid>
      <w:tr>
        <w:trPr/>
        <w:tc>
          <w:tcPr>
            <w:tcW w:w="59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Ahmed AlNeyadi</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Ahmed AlNeyadi / Authorized Signatory</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10/02/2026</w:t>
                  </w:r>
                </w:p>
              </w:tc>
            </w:tr>
          </w:tbl>
          <w:p>
            <w:pPr>
              <w:pStyle w:val="TableContents"/>
              <w:bidi w:val="0"/>
              <w:spacing w:before="0" w:after="283"/>
              <w:jc w:val="left"/>
              <w:rPr/>
            </w:pPr>
            <w:r>
              <w:rPr/>
            </w:r>
          </w:p>
        </w:tc>
        <w:tc>
          <w:tcPr>
            <w:tcW w:w="425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1015</Words>
  <Characters>5162</Characters>
  <CharactersWithSpaces>6113</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