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100" w:right="2860" w:hanging="4092"/>
        <w:spacing w:after="0" w:line="343" w:lineRule="auto"/>
        <w:tabs>
          <w:tab w:leader="none" w:pos="47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8" w:lineRule="exact"/>
        <w:rPr>
          <w:sz w:val="24"/>
          <w:szCs w:val="24"/>
          <w:color w:val="auto"/>
        </w:rPr>
      </w:pPr>
    </w:p>
    <w:p>
      <w:pPr>
        <w:ind w:left="4060"/>
        <w:spacing w:after="0"/>
        <w:tabs>
          <w:tab w:leader="none" w:pos="70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001-43085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EIKON THERAPEUTICS, INC.</w:t>
      </w:r>
    </w:p>
    <w:p>
      <w:pPr>
        <w:sectPr>
          <w:pgSz w:w="11900" w:h="16838" w:orient="portrait"/>
          <w:cols w:equalWidth="0" w:num="1">
            <w:col w:w="11240"/>
          </w:cols>
          <w:pgMar w:left="320" w:top="1195"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84-2807586</w:t>
      </w:r>
    </w:p>
    <w:p>
      <w:pPr>
        <w:spacing w:after="0" w:line="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1" w:lineRule="exact"/>
        <w:rPr>
          <w:sz w:val="24"/>
          <w:szCs w:val="24"/>
          <w:color w:val="auto"/>
        </w:rPr>
      </w:pPr>
    </w:p>
    <w:p>
      <w:pPr>
        <w:sectPr>
          <w:pgSz w:w="11900" w:h="16838" w:orient="portrait"/>
          <w:cols w:equalWidth="0" w:num="2">
            <w:col w:w="7460" w:space="480"/>
            <w:col w:w="3300"/>
          </w:cols>
          <w:pgMar w:left="320" w:top="1195"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230 Harriet Tubman Way</w:t>
      </w:r>
    </w:p>
    <w:p>
      <w:pPr>
        <w:spacing w:after="0" w:line="26" w:lineRule="exact"/>
        <w:rPr>
          <w:sz w:val="24"/>
          <w:szCs w:val="24"/>
          <w:color w:val="auto"/>
        </w:rPr>
      </w:pPr>
    </w:p>
    <w:p>
      <w:pPr>
        <w:ind w:left="2160"/>
        <w:spacing w:after="0"/>
        <w:tabs>
          <w:tab w:leader="none" w:pos="8200" w:val="left"/>
        </w:tabs>
        <w:rPr>
          <w:sz w:val="20"/>
          <w:szCs w:val="20"/>
          <w:color w:val="auto"/>
        </w:rPr>
      </w:pPr>
      <w:r>
        <w:rPr>
          <w:rFonts w:ascii="Times New Roman" w:cs="Times New Roman" w:eastAsia="Times New Roman" w:hAnsi="Times New Roman"/>
          <w:sz w:val="16"/>
          <w:szCs w:val="16"/>
          <w:color w:val="auto"/>
        </w:rPr>
        <w:t>Millbrae, California</w:t>
      </w:r>
      <w:r>
        <w:rPr>
          <w:sz w:val="20"/>
          <w:szCs w:val="20"/>
          <w:color w:val="auto"/>
        </w:rPr>
        <w:tab/>
      </w:r>
      <w:r>
        <w:rPr>
          <w:rFonts w:ascii="Times New Roman" w:cs="Times New Roman" w:eastAsia="Times New Roman" w:hAnsi="Times New Roman"/>
          <w:sz w:val="16"/>
          <w:szCs w:val="16"/>
          <w:color w:val="auto"/>
        </w:rPr>
        <w:t>94030</w:t>
      </w:r>
    </w:p>
    <w:p>
      <w:pPr>
        <w:spacing w:after="0" w:line="19"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(341) 777-0566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EIKN</w:t>
            </w: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registrant's common stock was not publicly traded on The Nasdaq Stock Market as of the last business day of the registrant's most recently completed second fiscal quarter.</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17, 2026 was 54,138,555.</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1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16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44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380" w:type="dxa"/>
            <w:vAlign w:val="bottom"/>
            <w:gridSpan w:val="2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7"/>
                <w:szCs w:val="17"/>
                <w:color w:val="auto"/>
              </w:rPr>
            </w:pPr>
          </w:p>
        </w:tc>
        <w:tc>
          <w:tcPr>
            <w:tcW w:w="482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40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86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0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8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7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28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1648"/>
        </w:trPr>
        <w:tc>
          <w:tcPr>
            <w:tcW w:w="12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7"/>
          <w:szCs w:val="17"/>
          <w:color w:val="auto"/>
        </w:rPr>
        <w:t>This Annual Report on Form 10-K (“Annual Report”)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Annual Report,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“would,”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Annual Report include, but are not limited to, statements about:</w:t>
      </w:r>
    </w:p>
    <w:p>
      <w:pPr>
        <w:spacing w:after="0" w:line="83" w:lineRule="exact"/>
        <w:rPr>
          <w:sz w:val="20"/>
          <w:szCs w:val="20"/>
          <w:color w:val="auto"/>
        </w:rPr>
      </w:pPr>
    </w:p>
    <w:p>
      <w:pPr>
        <w:ind w:left="102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strategy, initiation, cost, timing, progress, and results of our preclinical studies, including our EIK1006 and ARv7 programs, and clinical trials for our product candidates, including EIK1001, EIK1003, EIK1004, and EIK1005;</w:t>
      </w:r>
    </w:p>
    <w:p>
      <w:pPr>
        <w:spacing w:after="0" w:line="55" w:lineRule="exact"/>
        <w:rPr>
          <w:rFonts w:ascii="Times New Roman" w:cs="Times New Roman" w:eastAsia="Times New Roman" w:hAnsi="Times New Roman"/>
          <w:sz w:val="17"/>
          <w:szCs w:val="17"/>
          <w:color w:val="auto"/>
        </w:rPr>
      </w:pPr>
    </w:p>
    <w:p>
      <w:pPr>
        <w:ind w:left="1020" w:right="16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safety, and efficacy of our product candidates and the potential differentiators of our product candidates compared to alternative therapies;</w:t>
      </w:r>
    </w:p>
    <w:p>
      <w:pPr>
        <w:spacing w:after="0" w:line="5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or progress our current and future product candidates;</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our technology platform to enable more informed drug research and development;</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w:t>
      </w:r>
    </w:p>
    <w:p>
      <w:pPr>
        <w:spacing w:after="0" w:line="115" w:lineRule="exact"/>
        <w:rPr>
          <w:rFonts w:ascii="Times New Roman" w:cs="Times New Roman" w:eastAsia="Times New Roman" w:hAnsi="Times New Roman"/>
          <w:sz w:val="17"/>
          <w:szCs w:val="17"/>
          <w:color w:val="auto"/>
        </w:rPr>
      </w:pPr>
    </w:p>
    <w:p>
      <w:pPr>
        <w:ind w:left="1020" w:right="52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the number of patients with certain diseases and conditions we intend to treat, the number of patients that we plan to enroll in our clinical trials, and the size and nature of the market opportunity for our product candidates;</w:t>
      </w:r>
    </w:p>
    <w:p>
      <w:pPr>
        <w:spacing w:after="0" w:line="5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filings and approval for our product candidates;</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current or future regulatory standards with respect to our product candidates, if approved;</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relating to the further development and manufacturing of our product candidates, including for additional indications that we may pursue;</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therapeutic benefits of our product candidates, if approved;</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developments related to our competitors and our industry;</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the success of competing therapies that are or may become available;</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strategic plans for our business, product candidates, and technologies;</w:t>
      </w:r>
    </w:p>
    <w:p>
      <w:pPr>
        <w:spacing w:after="0" w:line="115" w:lineRule="exact"/>
        <w:rPr>
          <w:rFonts w:ascii="Times New Roman" w:cs="Times New Roman" w:eastAsia="Times New Roman" w:hAnsi="Times New Roman"/>
          <w:sz w:val="17"/>
          <w:szCs w:val="17"/>
          <w:color w:val="auto"/>
        </w:rPr>
      </w:pPr>
    </w:p>
    <w:p>
      <w:pPr>
        <w:ind w:left="1020" w:right="54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product candidates and our ability to enforce such rights and defend intellectual property-related claims;</w:t>
      </w:r>
    </w:p>
    <w:p>
      <w:pPr>
        <w:spacing w:after="0" w:line="55" w:lineRule="exact"/>
        <w:rPr>
          <w:rFonts w:ascii="Times New Roman" w:cs="Times New Roman" w:eastAsia="Times New Roman" w:hAnsi="Times New Roman"/>
          <w:sz w:val="17"/>
          <w:szCs w:val="17"/>
          <w:color w:val="auto"/>
        </w:rPr>
      </w:pPr>
    </w:p>
    <w:p>
      <w:pPr>
        <w:ind w:left="1020" w:right="18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license agreements and collaborations, including our ability to comply with our financial obligations pursuant to the terms of such agreements, and our ability to identify and enter into future license agreements and collaborations;</w:t>
      </w:r>
    </w:p>
    <w:p>
      <w:pPr>
        <w:spacing w:after="0" w:line="55" w:lineRule="exact"/>
        <w:rPr>
          <w:rFonts w:ascii="Times New Roman" w:cs="Times New Roman" w:eastAsia="Times New Roman" w:hAnsi="Times New Roman"/>
          <w:sz w:val="17"/>
          <w:szCs w:val="17"/>
          <w:color w:val="auto"/>
        </w:rPr>
      </w:pPr>
    </w:p>
    <w:p>
      <w:pPr>
        <w:ind w:left="1020" w:right="380" w:hanging="503"/>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potential benefits of strategic collaborations with third parties and our ability to attract collaborators with development, regulatory, manufacturing, or commercialization expertise;</w:t>
      </w:r>
    </w:p>
    <w:p>
      <w:pPr>
        <w:spacing w:after="0" w:line="5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assist us with the conduct of our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general economic conditions, including the impact of tariffs and import/export regulations, and geopolitical events;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manufacturing and commercializing our product candidates, if approved;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developments in the United States and foreign countries in which we may seek regulatory approval for our product candidates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views regarding the restatement of our financial statements as of and for the nine months ended September 30, 2025, our plans to remediate a material weakness in our internal control of financial reporting, and our ability to remediate this and other deficiencies in the future or to maintain effective internal control over financial reporting;</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estimates of our expenses, capital requirements, and needs for additional financing.</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caution you that the forward-looking statements highlighted above do not encompass all of the forward-looking statements made in this Annual Report.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Annual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Annual Report. Moreover, we operate in a very competitive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the forward-looking statements in this Annual Report with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98" w:lineRule="exact"/>
        <w:rPr>
          <w:sz w:val="20"/>
          <w:szCs w:val="20"/>
          <w:color w:val="auto"/>
        </w:rPr>
      </w:pPr>
    </w:p>
    <w:p>
      <w:pPr>
        <w:ind w:left="3783"/>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Listed below are some of the more significant risks relating to an investment in our common stock.</w:t>
      </w:r>
    </w:p>
    <w:p>
      <w:pPr>
        <w:spacing w:after="0" w:line="117" w:lineRule="exact"/>
        <w:rPr>
          <w:sz w:val="20"/>
          <w:szCs w:val="20"/>
          <w:color w:val="auto"/>
        </w:rPr>
      </w:pPr>
    </w:p>
    <w:p>
      <w:pPr>
        <w:ind w:left="503" w:right="60" w:hanging="503"/>
        <w:spacing w:after="0" w:line="312" w:lineRule="auto"/>
        <w:tabs>
          <w:tab w:leader="none" w:pos="5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spacing w:after="0" w:line="31" w:lineRule="exact"/>
        <w:rPr>
          <w:rFonts w:ascii="Times New Roman" w:cs="Times New Roman" w:eastAsia="Times New Roman" w:hAnsi="Times New Roman"/>
          <w:sz w:val="17"/>
          <w:szCs w:val="17"/>
          <w:color w:val="auto"/>
        </w:rPr>
      </w:pPr>
    </w:p>
    <w:p>
      <w:pPr>
        <w:ind w:left="503" w:right="30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entirely on the success of our product candidates and development programs, including EIK1001, EIK1003, EIK1004, EIK1005, EIK1006, and our ARv7 program,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spacing w:after="0" w:line="75" w:lineRule="exact"/>
        <w:rPr>
          <w:rFonts w:ascii="Times New Roman" w:cs="Times New Roman" w:eastAsia="Times New Roman" w:hAnsi="Times New Roman"/>
          <w:sz w:val="18"/>
          <w:szCs w:val="18"/>
          <w:color w:val="auto"/>
        </w:rPr>
      </w:pPr>
    </w:p>
    <w:p>
      <w:pPr>
        <w:ind w:left="503" w:right="6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applying our technology platform to identify or develop safe, effective, or commercially viable product candidates.</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key leaders, and our future success depends on our ability to retain these individuals and to attract and retain qualified personnel.</w:t>
      </w:r>
    </w:p>
    <w:p>
      <w:pPr>
        <w:spacing w:after="0" w:line="53" w:lineRule="exact"/>
        <w:rPr>
          <w:rFonts w:ascii="Times New Roman" w:cs="Times New Roman" w:eastAsia="Times New Roman" w:hAnsi="Times New Roman"/>
          <w:sz w:val="18"/>
          <w:szCs w:val="18"/>
          <w:color w:val="auto"/>
        </w:rPr>
      </w:pPr>
    </w:p>
    <w:p>
      <w:pPr>
        <w:ind w:left="503" w:right="3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p>
    <w:p>
      <w:pPr>
        <w:spacing w:after="0" w:line="6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policies, including those with respect to China, increased tariffs, and reductions in federal research funding, could adversely affect our business.</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be unable to commercialize our current product candidates or any of our future product candidates on a timely basis, or at all.</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similar drugs before or more successfully than we do.</w:t>
      </w:r>
    </w:p>
    <w:p>
      <w:pPr>
        <w:spacing w:after="0" w:line="53"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1"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w:t>
      </w:r>
    </w:p>
    <w:p>
      <w:pPr>
        <w:spacing w:after="0" w:line="392"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5" w:name="page6"/>
    <w:bookmarkEnd w:id="5"/>
    <w:p>
      <w:pPr>
        <w:spacing w:after="0" w:line="86"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color w:val="auto"/>
        </w:rPr>
        <w:t>drug development efforts and prevent us from commercializing, or increase the costs of commercializing, our products.</w:t>
      </w:r>
    </w:p>
    <w:p>
      <w:pPr>
        <w:spacing w:after="0" w:line="117" w:lineRule="exact"/>
        <w:rPr>
          <w:sz w:val="20"/>
          <w:szCs w:val="20"/>
          <w:color w:val="auto"/>
        </w:rPr>
      </w:pPr>
    </w:p>
    <w:p>
      <w:pPr>
        <w:ind w:left="503" w:right="220" w:hanging="503"/>
        <w:spacing w:after="0" w:line="25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spacing w:after="0" w:line="79"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legislation, future legislation, and other healthcare reform measures may increase the difficulty and cost for us to obtain marketing approval for, and/or to commercialize, our product candidates, and may affect the prices we may set.</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upon, and expect to continue to rely upon,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to commercialize, our product candidates.</w:t>
      </w:r>
    </w:p>
    <w:p>
      <w:pPr>
        <w:spacing w:after="0" w:line="71" w:lineRule="exact"/>
        <w:rPr>
          <w:rFonts w:ascii="Times New Roman" w:cs="Times New Roman" w:eastAsia="Times New Roman" w:hAnsi="Times New Roman"/>
          <w:sz w:val="18"/>
          <w:szCs w:val="18"/>
          <w:color w:val="auto"/>
        </w:rPr>
      </w:pPr>
    </w:p>
    <w:p>
      <w:pPr>
        <w:ind w:left="503" w:right="4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of materials at acceptable quality levels or prices, within acceptable timeframes, or at all, would materially and adversely affect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investors in our common stock could incur substantial losses.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are a late-stage clinical biopharmaceutical company dedicated to building a global, fully-integrated organization developing, innovative medicines to address serious unmet medical needs. We are led by world-renowned drug developers Dr. Roger M. Perlmutter, M.D., Ph.D., and Dr. Roy Baynes, M.D., Ph.D. Our vision is to become a generational leader, by purposefully integrating traditional biology research with advanced engineering to develop better medicines faster. Our initial focus is oncology, where we are advancing a pipeline of drug candidates targeting areas of high unmet need in large indications. We believe our product candidates reflect strong scientific and clinical potential and could eventually become critical medicines in the treatment paradigm of various cancers.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Chair and Chief Executive Officer, Dr. Roger M. Perlmutter, M.D., Ph.D., and our Chief Medical Officer, Dr. Roy Baynes, M.D., Ph.D., together have a proven track record of identifying, developing, and commercializing some of the most impactful drugs ever brought to market, including pembrolizumab, currently the world’s best-selling oncology therapeutic and arguably the most important anti-neoplastic agent ever introduced into clinical practice. While Drs. Perlmutter and Baynes’ track records do not provide a guarantee of future clinical success, and any products developed by us may not achieve the regulatory or commercial success of products that Drs. Perlmutter and Baynes were previously involved in developing, their experience provides valuable insight and strategic guidance to our drug development efforts. Our broader leadership team consists of former senior leaders at global pharmaceutical companies, who have successfully collaborated across several decades on the discovery, development, and commercialization of over 100 new molecular entities.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strategy centers around deploying our technology platform, including our proprietary single molecule tracking, or SMT, system, to develop internally-derived novel therapies, while also leveraging the deep expertise of our management team to opportunistically in-license promising assets. Our most advanced product candidate, EIK1001, a toll-like receptor, or TLR, 7/8 dual-agonist, is currently in a global Phase 2/3 registrational trial in combination with pembrolizumab for the treatment of patients with advanced melanoma. This Phase 2/3 trial is designed to proceed to completion, subject to interim analysis by a data monitoring committee, and to form the basis for registration. We are also evaluating EIK1001 in combination with both pembrolizumab and histology appropriate chemotherapy for the treatment of patients with non-small cell lung cancer, or NSCLC, in a Phase 2 trial, as well as a Phase 2/3 registrational trial for which we recently initiated site selection. We are also conducting Phase 1/2 trials of each of our selective PARP1 inhibitor product candidates, EIK1003 and EIK1004, in ovarian, breast, prostate, and pancreatic cancers and, specifically with the brain-penetrant candidate EIK1004, to address brain metastases and primary brain malignancies. In addition, we have recently initiated and have begun dosing in a Phase 1/2 trial in patients with advanced solid tumors for EIK1005, our Werner, or WRN, helicase inhibitor that emerged through internal research using our technology platform, which will ultimately be evaluated for the treatment of patients with microsatellite instability-high, or MSI-high, tumors.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Product Candidates and Programs</w:t>
      </w:r>
    </w:p>
    <w:p>
      <w:pPr>
        <w:spacing w:after="0" w:line="11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are focused on addressing immuno-responsive cancers requiring enhanced immune stimulation, advanced cancers with DNA repair abnormalities, and hormonally responsive cancers. Our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5349240" cy="2203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i w:val="1"/>
          <w:iCs w:val="1"/>
          <w:color w:val="0E2841"/>
          <w:vertAlign w:val="superscript"/>
        </w:rPr>
        <w:t>1</w:t>
      </w:r>
      <w:r>
        <w:rPr>
          <w:rFonts w:ascii="Arial" w:cs="Arial" w:eastAsia="Arial" w:hAnsi="Arial"/>
          <w:sz w:val="10"/>
          <w:szCs w:val="10"/>
          <w:i w:val="1"/>
          <w:iCs w:val="1"/>
          <w:color w:val="0E2841"/>
        </w:rPr>
        <w:t xml:space="preserve">This Phase 2/3 trial is designed to proceed to completion, subject to interim analysis by a data monitoring committee, and to form the basis for registration; </w:t>
      </w:r>
      <w:r>
        <w:rPr>
          <w:rFonts w:ascii="Arial" w:cs="Arial" w:eastAsia="Arial" w:hAnsi="Arial"/>
          <w:sz w:val="13"/>
          <w:szCs w:val="13"/>
          <w:i w:val="1"/>
          <w:iCs w:val="1"/>
          <w:color w:val="0E2841"/>
          <w:vertAlign w:val="superscript"/>
        </w:rPr>
        <w:t>2</w:t>
      </w:r>
      <w:r>
        <w:rPr>
          <w:rFonts w:ascii="Arial" w:cs="Arial" w:eastAsia="Arial" w:hAnsi="Arial"/>
          <w:sz w:val="10"/>
          <w:szCs w:val="10"/>
          <w:i w:val="1"/>
          <w:iCs w:val="1"/>
          <w:color w:val="0E2841"/>
        </w:rPr>
        <w:t xml:space="preserve"> Phase 2 safety and efficacy study nearing completion; United States Food</w:t>
      </w:r>
    </w:p>
    <w:p>
      <w:pPr>
        <w:ind w:left="4720"/>
        <w:spacing w:after="0" w:line="186" w:lineRule="auto"/>
        <w:tabs>
          <w:tab w:leader="none" w:pos="7240" w:val="left"/>
          <w:tab w:leader="none" w:pos="8860" w:val="left"/>
        </w:tabs>
        <w:rPr>
          <w:sz w:val="20"/>
          <w:szCs w:val="20"/>
          <w:color w:val="auto"/>
        </w:rPr>
      </w:pPr>
      <w:r>
        <w:rPr>
          <w:rFonts w:ascii="Arial" w:cs="Arial" w:eastAsia="Arial" w:hAnsi="Arial"/>
          <w:sz w:val="6"/>
          <w:szCs w:val="6"/>
          <w:i w:val="1"/>
          <w:iCs w:val="1"/>
          <w:color w:val="0E2841"/>
          <w:vertAlign w:val="superscript"/>
        </w:rPr>
        <w:t>3</w:t>
      </w:r>
      <w:r>
        <w:rPr>
          <w:sz w:val="20"/>
          <w:szCs w:val="20"/>
          <w:color w:val="auto"/>
        </w:rPr>
        <w:tab/>
      </w:r>
      <w:r>
        <w:rPr>
          <w:rFonts w:ascii="Arial" w:cs="Arial" w:eastAsia="Arial" w:hAnsi="Arial"/>
          <w:sz w:val="6"/>
          <w:szCs w:val="6"/>
          <w:i w:val="1"/>
          <w:iCs w:val="1"/>
          <w:color w:val="0E2841"/>
          <w:vertAlign w:val="superscript"/>
        </w:rPr>
        <w:t>4</w:t>
      </w:r>
      <w:r>
        <w:rPr>
          <w:sz w:val="20"/>
          <w:szCs w:val="20"/>
          <w:color w:val="auto"/>
        </w:rPr>
        <w:tab/>
      </w:r>
      <w:r>
        <w:rPr>
          <w:rFonts w:ascii="Arial" w:cs="Arial" w:eastAsia="Arial" w:hAnsi="Arial"/>
          <w:sz w:val="6"/>
          <w:szCs w:val="6"/>
          <w:i w:val="1"/>
          <w:iCs w:val="1"/>
          <w:color w:val="0E2841"/>
          <w:vertAlign w:val="superscript"/>
        </w:rPr>
        <w:t>5</w:t>
      </w:r>
    </w:p>
    <w:p>
      <w:pPr>
        <w:spacing w:after="0"/>
        <w:tabs>
          <w:tab w:leader="none" w:pos="4760" w:val="left"/>
        </w:tabs>
        <w:rPr>
          <w:sz w:val="20"/>
          <w:szCs w:val="20"/>
          <w:color w:val="auto"/>
        </w:rPr>
      </w:pPr>
      <w:r>
        <w:rPr>
          <w:rFonts w:ascii="Arial" w:cs="Arial" w:eastAsia="Arial" w:hAnsi="Arial"/>
          <w:sz w:val="11"/>
          <w:szCs w:val="11"/>
          <w:i w:val="1"/>
          <w:iCs w:val="1"/>
          <w:color w:val="0E2841"/>
        </w:rPr>
        <w:t>and Drug Administration, or FDA, has allowed us to proceed with the Phase 2/3 registrational trial;</w:t>
      </w:r>
      <w:r>
        <w:rPr>
          <w:sz w:val="20"/>
          <w:szCs w:val="20"/>
          <w:color w:val="auto"/>
        </w:rPr>
        <w:tab/>
      </w:r>
      <w:r>
        <w:rPr>
          <w:rFonts w:ascii="Arial" w:cs="Arial" w:eastAsia="Arial" w:hAnsi="Arial"/>
          <w:sz w:val="10"/>
          <w:szCs w:val="10"/>
          <w:i w:val="1"/>
          <w:iCs w:val="1"/>
          <w:color w:val="0E2841"/>
        </w:rPr>
        <w:t>Greater China: China, Hong Kong, Macau, Taiwan;  Currently in preclinical research;  Milestone Achieved February 2026; Note:</w:t>
      </w:r>
    </w:p>
    <w:p>
      <w:pPr>
        <w:spacing w:after="0" w:line="35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product candidates and programs described above, we are also actively pursuing discovery research programs in oncology and neurologic disease.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EIK1001</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EIK1001 is a systemically administered TLR 7/8 dual-agonist designed to activate innate and adaptive immune anti-tumor responses. It achieves this by enhancing antigen presentation by both myeloid and plasmacytic dendritic cells, thereby stimulating the release of cytokines and amplifying the immune response. Historically, TLR product candidates used to stimulate cancer-specific immunity were administered intra-tumorally, primarily to avoid stimulating adverse cytokine release syndrome, or CRS, events believed to be associated with their systemic administration. We have identified a dose and schedule designed to allow for systemic administration of EIK1001 to enable the agent to access the lymph nodes and spleen, thereby activating the innate immune system more broadly, and that we believe will not undermine the overall tolerability of this immune agonist.</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in-licensed EIK1001 from Seven and Eight Biotherapeutics Corp. pursuant to an Exclusive Collaboration Agreement with Seven and Eight Biotherapeutics Corp. and related entities, collectively known as Seven and Eight, and an Exclusive License and Development Agreement with Seven and Eight and Superb Wisdom Limited, or SW. Under each agreement, Seven and Eight and SW granted Eikon a worldwide, exclusive license under certain of their patents, know-how, and other intellectual property rights to develop and commercialize certain TLR 7 and 8 agonist product candidates, including EIK1001. Prior to our in-license, EIK1001 was known as BDB001. See the section of this Annual Report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EIK1001 has been studied in over 400 patients and observed to be well-tolerated to date both as a monotherapy and in combination with PD-(L)1-specific antibody-based therapy. We believe adverse events, or AEs, thus far observed, including Grade 3 or higher events, are consistent with expectations for the studied patient population with advanced solid tumors. These patients are heavily pre-treated and have significant baseline comorbidities due to the natural progression of their illness. The frequency and severity of observed AEs align with those typically seen in this refractory population.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our ongoing Phase 2 trial evaluating the safety and tolerability of EIK1001 in combination with both pembrolizumab and histology appropriate chemotherapy for the treatment of patients with NSCLC being conducted in multiple sites in the United States, we observed a favorable tolerability profile for the run-in dose, and no dose limiting toxicities, or DLTs, were reported. As of October 27, 2025, overall, 30 patients (46%) had experienced treatment related adverse events, or TRAEs, of Grade 3 or higher, consistent with the safety profile of the standard of care therapies with which EIK1001 was being administered, and there were no Grade 3 or higher CRS events.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Responses were observed in both the squamous and nonsquamous treatment groups and at both doses with the majority of patients exhibiting tumor size reduction, and only two patients (4%) showing tumor growth as the best response. The overall Response Evaluation Criteria in Solid Tumors, or RECIST, 1.1 response rate in the evaluable population was 60% (32/53) with a rate of 56% (20/36) and 71% (12/17) in non-squamous and squamous patients, respectively.</w:t>
      </w:r>
    </w:p>
    <w:p>
      <w:pPr>
        <w:spacing w:after="0" w:line="180"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these observations are positive, any trends relating to responses or activity in this Phase 2 trial would need to be confirmed in a pivotal study before efficacy can be determined. As of the date of this Annual Report, the Phase 2 study has been fully enrolled and we expect to submit data for presentation at a medical meeting in the second half of 2026.</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also conducting a global Phase 2/3 registrational trial of approximately 740 patients evaluating the optimal dose and efficacy of EIK1001 in combination with pembrolizumab compared to pembrolizumab monotherapy for the treatment of patients with advanced melanoma in the United States, Australia, Denmark, Germany, Belgium, Austria, United Kingdom, Canada, South Africa, Spain, France, Switzerland, Sweden, Portugal, Israel, Czech Republic, Finland, Norway, Poland, Serbia, Italy, Hungary, South Korea and New Zealand. As of the date of this Annual Report, we enrolled sufficient patients for our Data Safety and Monitoring Board (DSMB) to conduct their first safety review. The DSMB recommended that the study continue as planned.</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recently initiated site selection for a global Phase 2/3 registrational trial of approximately 750 patients to measure efficacy and safety of EIK1001 in combination with both pembrolizumab and histology appropriate chemotherapy for the treatment of patients with stage 4 NSCLC. The FDA has allowed us to proceed with this trial. We anticipate dosing the first patient in this trial in the second half of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EIK1003 &amp; EIK1004</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EIK1003 and EIK1004 are selective PARP1 inhibitors. These product candidates are designed to inhibit PARP1 while sparing PARP2, thereby promoting tumor regression by targeting the DNA damage response of cancer cells. Non-selective PARP1/2 inhibitors such as olaparib are associated with hematologic toxicity, particularly anemia, leading to dose modifications and treatment discontinuations. These tolerability limitations have restricted use of non-selective PARP inhibitors primarily to the maintenance setting following response to chemotherapy. PARP2 plays an important role in red blood cell production, and preclinical evidence suggests PARP2 inhibition contributes to hematologic toxicities. Consequently, non-selective PARP inhibitors have not been successfully combined with chemotherapy in clinical practice. EIK1003 and EIK1004 are designed to selectively inhibit PARP1 while sparing PARP2. We believe this selectivity may enable the development of combination regimes with chemotherapy in earlier lines of therapy and allow for sustained therapeutic dosing during maintenance treatment.</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in-licensed EIK1003 and EIK1004 from Impact Therapeutics (Shanghai) Inc., or Impact, pursuant to a Collaboration Agreement with Impact, or the Impact Agreement. Under the Impact Agreement, we received an exclusive license to certain Impact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 Prior to our in-license, EIK1003 was known as IMP1734 or IMP17134, and EIK1004 was known as IMP1707 or IMP17307. See the section of this Annual Report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9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our ongoing Phase 1/2 dose-escalating trial of EIK1003 being conducted in the United States, Australia, China, South Korea, Canada, and the European Union, we are evaluating the safety and tolerability of once-daily dosing of EIK1003 as a monotherapy for ovarian, breast, prostate, and pancreatic cancers in Cohort 1A.</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Cohort 1A dose escalation has been completed with 65 patients enrolled across six dose levels ranging from 10mg to 160mg. While dose-limiting toxicities were observed at the higher dose levels of 80mg and 160mg, a maximum tolerated dose, or MTD, was not formally established. Overall, hematologic toxicity was observed to be minimal, and we observed clinical activity at most doses tested, as evidenced by target lesion size reduction and durable responses. In the RECIST evaluable population (n=49), the overall response rate, or ORR, was 14% (7/49) and when analyzed by tumor type, ORRs were 13% (2/16) in breast cancer patients and 15% (4/27) in ovarian cancer patients. The ORR in PARP inhibitor, or PARPi, naïve patients was 31% (5/16), suggesting enhanced activity in a PARPi naïve population.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Phase 1/2 trial is also evaluating a second cohort, Cohort 1B, wherein EIK1003 is administered in combination with abiraterone and prednisone for the treatment of patients with advanced prostate cancer, and in a third cohort, Cohort 1C, wherein EIK1003 is administered in combination with paclitaxel for the treatment of patients with platinum-resistant ovarian and breast cancer.</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October 27, 2025, dose escalation of Cohort 1B was ongoing. As of that date, 12 patients had been enrolled across three completed dose levels (10mg to 40mg) with patients being enrolled at the 60mg dose level. No DLTs had been reported. We have observed preliminary clinical activity in combination with both RECIST responses and prostate specific antigen, or, PSA declines. Activity was observed starting at the lowest dose level of 10mg of EIK1003, with three RECIST partial responses, or PRs (two confirmed, one unconfirmed), and three PSA 50 responses (≥50% decline from baseline). We anticipate completing dose escalation for Cohort 1B in the second half of 2026, at which point we will determine whether to advance this combination further in development.</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October 27, 2025, dose escalation of Cohort 1C was ongoing. As of that date, 37 patients had been enrolled across four dose levels (10mg to 60mg) with patients being enrolled at the 60mg dose level. The safety profile observed was generally consistent with the known toxicity profiles of paclitaxel or EIK1003 monotherapy, with AEs managed through standard medical interventions including dose delays, dose modifications and growth factor support as clinically indicated, suggesting the potential for EIK1003 to be combined with paclitaxel in platinum-resistant ovarian cancer patients and breast cancer patients when appropriate supportive care measures are employed. Of the 17 evaluable patients, we have observed clinical activity including four PRs (three confirmed, one unconfirmed) and one complete response, or CR, across multiple dose levels. In the second half of 2026, we anticipate completing dose escalation for Cohort 1C and plan to read out data from existing cohorts (1A, 1B, and 1C). We are also actively planning for further development of EIK1003 in combination with other treatments such as EIK1003 in combination with cis-platinum and paclitaxel (cohort 1D) commencing in the second half of 2026.</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Following completion of Cohort 1A dose escalation, we reached agreement with the FDA on a dose optimization strategy for Part 2 of the trial. Part 2 will evaluate two dose levels, 20mg and 60mg, to determine the appropriate recommended Phase 2 dose for EIK1003. Approximately 30 PARPi-naïve, HER2-negative breast cancer patients will be enrolled at each dose level. As of the date of this Annual Report, the first patient has been dosed in Part 2 of this trial and enrollment continues.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While we believe these observations are positive, any trends relating to responses or activity in this Phase 1/2 trial would need to be confirmed in a larger, adequately powered and controlled pivotal study before efficacy and other findings can be determined.</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conducting a Phase 1/2 trial of EIK1004, our selective PARP1 inhibitor designed to penetrate the central nervous system, or CNS, for the treatment of patients with ovarian, breast, prostate, and pancreatic cancers. This is a global study being conducted in the United States, Canada, South Korea, China, Australia, and the European Union. We believe the ability of a PARP1 inhibitor to penetrate the CNS would allow for the potential treatment of patients with advanced solid tumors, with or without brain metastases, as well as primary brain cancers in combination with alkylating agents.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Dose escalation in Part 1 is ongoing. As of October 27, 2025, sixteen patients had been enrolled across three dose levels (10mg to 40mg), no DLTs had been reported, and we observed preliminary activity in monotherapy dose escalation with an unconfirmed PR observed at the 10mg dose level. These data are preliminary and patient numbers are small. Any conclusions will require confirmation in a larger, adequately powered and controlled pivotal study. We anticipate completing dose escalation for EIK1004 in the second half of 2026, dependent on reaching a MTD.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EIK1005</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EIK1005, is our product candidate designed to inhibit the WRN helicase and is our first internally developed program to advance into clinical studies. EIK1005 was optimized in our laboratories using our technology platform along with our broad research capabilities and was brought from discovery research to candidate declaration in less than 18 months. We believe EIK1005 has the potential to be an effective anti-tumor agent for MSI-high tumors, by producing synthetic lethality in MSI-high cells dependent upon the WRN helicase salvage pathway. Our EIK1005 development program will evaluate the potential of our WRN inhibitors to be used as a monotherapy, or in combination with immunotherapy, to improve treatment outcomes for patients with MSI-high tumors.</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completed a single-ascending dose-escalation Phase 1 trial in healthy volunteers which evaluated the safety, tolerability, and pharmacokinetics of EIK1005 in Australia. A total of 23 healthy volunteers participated in the trial, of which 17 received EIK1005 and six received placebo. After clearing the 50mg and 100mg dose levels, EIK1005 was observed to have a half-life of 9.4 days and we observed mild to moderate adverse events which were deemed unrelated to EIK1005. We also observed that EIK1005 can be taken without regard to food intake. We believe these findings support a starting dose in subsequent trials of EIK1005 at 50mg given once weekly in patients without regard to food.</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begun dosing patients in the Phase 1/2 trial of EIK1005. This trial is designed to assess pharmacokinetics and safety in EIK1005 monotherapy dose escalation in patients with advanced solid tumors. Dose escalation of EIK1005 in combination with pembrolizumab and subsequent dose optimization in monotherapy will be assessed in patients with advanced solid tumors that are MSI-high.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EIK1006</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technology platform has also enabled us to identify novel androgen receptor, or AR, antagonists that demonstrate activity against mutant versions of AR that are not easily antagonized by existing AR-directed therapeutics. Our AR program is focused on optimizing molecules that can bind to the AR and inhibit signaling that is otherwise stimulated by androgens. These compounds block both the wild-type, referred to as the normal form, of AR, as well as the predominant, clinically observed, AR mutations that emerge in patients whose tumors have become resistant to currently available AR inhibitors. This program recently selected a candidate, EIK1006, that we are now progressing through IND-enabling preclinical studies.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EIK1006 is our second internally derived clinical candidate and is being investigated as a potential next-generation AR antagonist with activity against multiple clinically emergent variants of AR. We believe EIK1006 has the potential to bind to the ligand binding domain, or LBD, of AR and block its nuclear translocation, thereby inhibiting AR transcriptional activity and downstream signaling. EIK1006 is structurally differentiated from currently available AR antagonists. We expect to submit an IND for EIK1006 in the first quarter of 2027.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Inhibitors of Androgen Receptor Signaling</w:t>
      </w:r>
    </w:p>
    <w:p>
      <w:pPr>
        <w:spacing w:after="0" w:line="11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Our ARv7 program is focused on a splice variant of AR known as ARv7. This splice variant lacks the ability to bind to testosterone and is constitutively active: it consistently delivers a signal that promotes tumor cell growth, even in the absence of androgen stimulation. Using our technology platform, we have identified chemical series that change the motion of ARv7 in prostate cancer cell lines, and have defined representatives of these series that selectively block cell growth in certain types of cancer, including tumor growth in animal models. This program is currently in preclinical research.</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Team</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Chair and Chief Executive Officer, Dr. Roger M. Perlmutter, M.D., Ph.D., and our Chief Medical Officer, Dr. Roy Baynes, M.D., Ph.D., are both pioneers in drug discovery and development, with proven track records of identifying, developing, and commercializing some of the most impactful drugs in the medical armamentarium, including pembrolizumab, currently the world’s best-selling oncology therapeutic and arguably the most important anti-neoplastic agent ever introduced into clinical practice. While Drs. Perlmutter and Baynes’ track records do not provide a guarantee of future clinical success, and any products developed by us may not achieve the regulatory or commercial success of products that Drs. Perlmutter and Baynes were previously involved in developing, their experience provides valuable insight and strategic guidance to our drug development efforts. Joining Drs. Perlmutter and Baynes is a group of seasoned industry veterans united by a shared mission to deliver breakthrough therapeutics to patients. Our research strategy leverages internal drug discovery techniques including the use of our proprietary SMT system and our proprietary artificial intelligence, or AI, and machine learning, or ML, algorithms. We have also pursued opportunistic business development efforts. Drs. Perlmutter and Baynes previously collaborated with our current Chief Business Officer, Benjamin Thorner, during their time at both Amgen and Merck to identify, evaluate, and acquire or in-license important medicines.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Chief Technical Officer, Russ Berman, has been a key contributor to the creation of our technology platform, consisting of our proprietary SMT system, bespoke automation, data science ML and AI tools, and software engineering capable of processing petabyte-scale datasets.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leadership team also includes other members with deep experience, such as our Chief Operating Officer, Michael Klobuchar, who holds an M.B.A. from Villanova University and an M.S. in chemical engineering from Rutgers University, spent over 25 years at Merck before joining us, where he last served as their Chief Strategy Officer, reporting directly to Merck’s Chief Executive Officer, and was a member of Merck’s Executive Committee. Our Chief Financial Officer, Alfred Bowie, holds a Ph.D. in chemistry from the University of California at Berkeley, and has over 15 years of business experience helping to direct the activities of companies like Foundation Medicine, Tecan, and Danaher. As of December 31, 2025, we had 384 full-time employees. Of those, 321 were engaged in research and development activities. More than 112 of our employees hold either Ph.D. or M.D. degrees or both.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 and Drug Development Approach</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Traditional pharmaceutical research and development has experienced an exponential decline in productivity for more than six decades. This inefficiency results from several factors, the most important of which is the inability to develop robust models that can identify effective drug targets. Traditional biochemical studies, which form the bedrock of pharmaceutical discovery efforts, examine the effects of therapeutic candidates in highly contrived, often in vitro, settings that do not adequately resemble the environment where they must perform in human patients. Most biological processes involve interactions among multiple proteins, protein complexes, lipids, nucleic acids, and other biomolecules within cells. These interactions form the control elements that regulate intracellular biochemical reactions. It is no surprise, then, that, in general, drugs act by modulating the interactions among many different proteins and other biomolecules in the cell types where they exert their effects. To improve productivity in the discovery of new therapeutics, we regard the interrogation and analysis of protein interactions, as they occur within living cells, as essential. Importantly, previous biological approaches were unable to capture the dynamic, typically transient nature of these important protein interactions within living cells. Single molecule tracking is an advanced imaging technique that facilitates the monitoring of the motion of target protein populations, resulting in a detailed characterization of activity states. Using single molecule tracking, we can screen for compounds that affect the motion, location, and other properties of a target protein, and thereby discover compounds that modulate the activity of these proteins. Moreover, with genetic approaches, our instruments can be used to characterize the interactions among proteins inside living cells from human cell lines, providing the basis for identifying novel targets that can be exploited to generate important new medicines.</w:t>
      </w:r>
    </w:p>
    <w:p>
      <w:pPr>
        <w:spacing w:after="0" w:line="19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technology platform is centered around our proprietary SMT system, integrating tools such as custom-engineered super-resolution microscopy, bespoke automation, advanced data science, and software packages capable of processing petabyte-scale datasets. Our use of single molecule tracking was inspired by the work of Dr. Robert Tjian, Ph.D., and Dr. Eric Betzig, Ph.D., who were co-founders of Eikon. In 2014, Dr. Betzig shared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Nobel prize for his discoveries that led to the invention of super-resolution microscopy. Our technology platform produces an extraordinary amount of information, capable of generating up to one petabyte of precise, high-dimensional data each day. We analyze these data using ML methods to derive insights into mechanisms of disease, and the way in which biochemical programs can be perturbed to ameliorate disease processes.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ways that our technology platform assists drug discovery, we can pursue the following tasks:</w:t>
      </w:r>
    </w:p>
    <w:p>
      <w:pPr>
        <w:spacing w:after="0" w:line="113" w:lineRule="exact"/>
        <w:rPr>
          <w:sz w:val="20"/>
          <w:szCs w:val="20"/>
          <w:color w:val="auto"/>
        </w:rPr>
      </w:pPr>
    </w:p>
    <w:p>
      <w:pPr>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validate novel targets</w:t>
      </w:r>
      <w:r>
        <w:rPr>
          <w:rFonts w:ascii="Times New Roman" w:cs="Times New Roman" w:eastAsia="Times New Roman" w:hAnsi="Times New Roman"/>
          <w:sz w:val="18"/>
          <w:szCs w:val="18"/>
          <w:color w:val="auto"/>
        </w:rPr>
        <w:t>: Even if a specific protein is deemed difficult to target, understanding its interactions with other proteins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the possibility of targeting those associated proteins to achieve the desired therapeutic effect. Our ability to map certain protein interactions enables us to identify novel targets for drug discovery, and to then validate their roles in disease pathology and their suitability as therapeutic targets.</w:t>
      </w:r>
    </w:p>
    <w:p>
      <w:pPr>
        <w:spacing w:after="0" w:line="68" w:lineRule="exact"/>
        <w:rPr>
          <w:rFonts w:ascii="Times New Roman" w:cs="Times New Roman" w:eastAsia="Times New Roman" w:hAnsi="Times New Roman"/>
          <w:sz w:val="18"/>
          <w:szCs w:val="18"/>
          <w:color w:val="auto"/>
        </w:rPr>
      </w:pPr>
    </w:p>
    <w:p>
      <w:pPr>
        <w:jc w:val="both"/>
        <w:ind w:left="1020" w:right="16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Elucidate mechanisms of action</w:t>
      </w:r>
      <w:r>
        <w:rPr>
          <w:rFonts w:ascii="Times New Roman" w:cs="Times New Roman" w:eastAsia="Times New Roman" w:hAnsi="Times New Roman"/>
          <w:sz w:val="18"/>
          <w:szCs w:val="18"/>
          <w:color w:val="auto"/>
        </w:rPr>
        <w:t>: We systematically assess mechanisms of action through real-time, single molecule analysis of on-target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off-target interactions. We believe gaining this more complete picture of molecular function aids in the most appropriate clinical use of the identified molecules and in the identification of clinically relevant biomarkers.</w:t>
      </w:r>
    </w:p>
    <w:p>
      <w:pPr>
        <w:spacing w:after="0" w:line="62" w:lineRule="exact"/>
        <w:rPr>
          <w:rFonts w:ascii="Times New Roman" w:cs="Times New Roman" w:eastAsia="Times New Roman" w:hAnsi="Times New Roman"/>
          <w:sz w:val="18"/>
          <w:szCs w:val="18"/>
          <w:color w:val="auto"/>
        </w:rPr>
      </w:pPr>
    </w:p>
    <w:p>
      <w:pPr>
        <w:ind w:left="1020" w:right="80" w:hanging="503"/>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 the identification and nomination of drug candidates</w:t>
      </w:r>
      <w:r>
        <w:rPr>
          <w:rFonts w:ascii="Times New Roman" w:cs="Times New Roman" w:eastAsia="Times New Roman" w:hAnsi="Times New Roman"/>
          <w:sz w:val="18"/>
          <w:szCs w:val="18"/>
          <w:color w:val="auto"/>
        </w:rPr>
        <w:t>: Both through high throughput screening and structure-activity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cycles, we leverage single molecule tracking to enable a more informed approach to identifying and optimizing chemical matter for drug-like properties. In this way, we generate chemical matter that we believe has an improved probability of technical and regulatory success. Our beliefs about this more informed approach and improved probability of success are based on the use of human-derived cells to obtain direct measurements of changes in protein behavior. The extensive data we generate can reveal overlooked or previously unseen interactions that can be leveraged for new therapeutics. By using internal data-driven predictive chemistry, supported by both computational and wet lab tools that can accelerate lead optimization, we believe we are positioned to profile new molecular entities in a way that can accelerate the overall drug development process. For example, we have advanced EIK1005, our WRN product candidate, from initial discovery research to nominating a development candidate in under 18 months. However, it is important to note that despite our efforts to accelerate the nomination of product candidates, we may not consistently be able to do so. Further, these investigational compounds will not become products until they demonstrate activity in adequate and well-controlled clinical trials with timelines similar to other product candidates and undergo a regulatory review process to thereafter gain registration in jurisdictions where we intend to seek marketing authorization.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our strategy to leverage our technology platform in our drug development efforts represents a novel approach with significant potential, though it remains unproven. To date, EIK1005 and EIK1006 are the only product candidates that have leveraged our technology platform. In particular, for EIK1005, which is now in clinical development, we used our technology platform to characterize EIK1005’s mechanism of action and optimize its chemical structure with precision. As we are still in early stages of leveraging our technology platform, there is no guarantee that it will be successful in identifying or validating any safe, effective, or commercially viable product candidate.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goal is to build a generational, global biopharmaceutical company that creates medicines that can meaningfully improve and extend the lives of patients suffering from grievous illness. Key elements of our strategy include:</w:t>
      </w:r>
    </w:p>
    <w:p>
      <w:pPr>
        <w:spacing w:after="0" w:line="50" w:lineRule="exact"/>
        <w:rPr>
          <w:sz w:val="20"/>
          <w:szCs w:val="20"/>
          <w:color w:val="auto"/>
        </w:rPr>
      </w:pPr>
    </w:p>
    <w:p>
      <w:pPr>
        <w:ind w:left="1020" w:right="4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 our advanced clinical-stage product candidates. </w:t>
      </w:r>
      <w:r>
        <w:rPr>
          <w:rFonts w:ascii="Times New Roman" w:cs="Times New Roman" w:eastAsia="Times New Roman" w:hAnsi="Times New Roman"/>
          <w:sz w:val="18"/>
          <w:szCs w:val="18"/>
          <w:color w:val="auto"/>
        </w:rPr>
        <w:t>EIK1001, our TLR 7/8 dual-agonist, is designed to address the limitations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immune agonists due to its independent action, orthogonal mechanism of action, and systemic administration. EIK1001 was observed to be well-tolerated and exhibit clinical activity in Phase 1 trials as a single agent in otherwise treatment-refractory cancer patients. We are conducting a global Phase 2/3 registrational trial of EIK1001 for the treatment of patients with advanced malignant melanoma for which we expect to conduct the first interim analysis in the second half of 2026, after which we plan to select the optimal dose. We are also conducting a Phase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ind w:left="503" w:right="60"/>
        <w:spacing w:after="0" w:line="256" w:lineRule="auto"/>
        <w:rPr>
          <w:sz w:val="20"/>
          <w:szCs w:val="20"/>
          <w:color w:val="auto"/>
        </w:rPr>
      </w:pPr>
      <w:r>
        <w:rPr>
          <w:rFonts w:ascii="Times New Roman" w:cs="Times New Roman" w:eastAsia="Times New Roman" w:hAnsi="Times New Roman"/>
          <w:sz w:val="18"/>
          <w:szCs w:val="18"/>
          <w:color w:val="auto"/>
        </w:rPr>
        <w:t>2 trial in the United States evaluating the safety and tolerability of EIK1001 in combination with pembrolizumab and histology appropriate chemotherapy, and recently initiated site selection in a larger, randomized, global Phase 2/3 registrational trial, in combination with both pembrolizumab and histology appropriate chemotherapy, in both cases for the treatment of patients with NSCLC. In addition, we believe our PARP1 inhibitor candidate, EIK1003, can overcome the challenges of non-selective PARPs due to its reduced hematologic toxicity and its potential to be used in combination with chemotherapy as front-line therapy. We are conducting a Phase 1/2 trial of EIK1003 and expect to submit data from the combination cohorts for presentation at a medical meeting in the second half of 2026.</w:t>
      </w:r>
    </w:p>
    <w:p>
      <w:pPr>
        <w:spacing w:after="0" w:line="75" w:lineRule="exact"/>
        <w:rPr>
          <w:sz w:val="20"/>
          <w:szCs w:val="20"/>
          <w:color w:val="auto"/>
        </w:rPr>
      </w:pPr>
    </w:p>
    <w:p>
      <w:pPr>
        <w:ind w:left="503" w:right="60" w:hanging="503"/>
        <w:spacing w:after="0" w:line="254"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additional programs into and through clinical development. </w:t>
      </w:r>
      <w:r>
        <w:rPr>
          <w:rFonts w:ascii="Times New Roman" w:cs="Times New Roman" w:eastAsia="Times New Roman" w:hAnsi="Times New Roman"/>
          <w:sz w:val="18"/>
          <w:szCs w:val="18"/>
          <w:color w:val="auto"/>
        </w:rPr>
        <w:t>We are conducting a Phase 1/2 trial of EIK1004,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dose escalation in the second half of 2026, dependent on reaching a MTD. EIK1004 is supported by preclinical data that has shown potent selectivity versus PARP2 (similar to EIK1003), as well as brain penetrance. EIK1005 and our AR antagonist EIK1006 were both optimized in our laboratories using our technology platform. EIK1005 is a potent WRN helicase inhibitor and anti-tumor agent for MSI-high tumors. We recently initiated a Phase 1/2 trial of EIK1005 in patients with advanced solid tumors which, if favorable results are observed, will permit a detailed characterization of the activity of this molecule in patients suffering from cancers that have an MSI-high profile. We expect to submit data from this Phase 1/2 trial for presentation at a medical meeting in the first half of 2027. EIK1006, which was recently declared as a product candidate, is now in IND-enabling preclinical studies. Our ARv7 program is currently in preclinical research. We are also actively pursuing discovery research in oncology and neurologic disease.</w:t>
      </w:r>
    </w:p>
    <w:p>
      <w:pPr>
        <w:spacing w:after="0" w:line="80" w:lineRule="exact"/>
        <w:rPr>
          <w:rFonts w:ascii="Times New Roman" w:cs="Times New Roman" w:eastAsia="Times New Roman" w:hAnsi="Times New Roman"/>
          <w:sz w:val="18"/>
          <w:szCs w:val="18"/>
          <w:color w:val="auto"/>
        </w:rPr>
      </w:pPr>
    </w:p>
    <w:p>
      <w:pPr>
        <w:ind w:left="503" w:right="160" w:hanging="503"/>
        <w:spacing w:after="0" w:line="259"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leveraging our platform. </w:t>
      </w:r>
      <w:r>
        <w:rPr>
          <w:rFonts w:ascii="Times New Roman" w:cs="Times New Roman" w:eastAsia="Times New Roman" w:hAnsi="Times New Roman"/>
          <w:sz w:val="18"/>
          <w:szCs w:val="18"/>
          <w:color w:val="auto"/>
        </w:rPr>
        <w:t>We believe that our technology platform has the potential to enable a more informed, and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accelerated, approach to drug discovery. Our instruments and software are designed to allow us to identify and validate novel targets, elucidate mechanisms of action, and accelerate the identification of drug candidates. Our engineers collaborate closely with our drug development scientists, chemists, pharmacologists, and biologists (the end users of our platform), permitting dynamic feedback that enables our engineers to maximize the utility of our instruments.</w:t>
      </w:r>
    </w:p>
    <w:p>
      <w:pPr>
        <w:spacing w:after="0" w:line="71" w:lineRule="exact"/>
        <w:rPr>
          <w:rFonts w:ascii="Times New Roman" w:cs="Times New Roman" w:eastAsia="Times New Roman" w:hAnsi="Times New Roman"/>
          <w:sz w:val="18"/>
          <w:szCs w:val="18"/>
          <w:color w:val="auto"/>
        </w:rPr>
      </w:pPr>
    </w:p>
    <w:p>
      <w:pPr>
        <w:ind w:left="503" w:right="20" w:hanging="503"/>
        <w:spacing w:after="0" w:line="257"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opportunistic in-licensing to expand our pipeline. </w:t>
      </w:r>
      <w:r>
        <w:rPr>
          <w:rFonts w:ascii="Times New Roman" w:cs="Times New Roman" w:eastAsia="Times New Roman" w:hAnsi="Times New Roman"/>
          <w:sz w:val="18"/>
          <w:szCs w:val="18"/>
          <w:color w:val="auto"/>
        </w:rPr>
        <w:t>We intend to continue leveraging the expertise of our leadership team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insights we can derive from our technology platform to identify and in-license promising development candidates. We believe our team is especially skilled in the thoughtful design and rapid execution of clinical trials. Also, since we have internal teams in regulatory affairs, safety, biostatistics, clinical data management, and clinical operations (among other disciplines), we are not dependent on contractors for the architecture of development plans to support in-licensed candidates, or for the regulatory approach that we believe can yield high-quality global marketing authorizations.</w:t>
      </w:r>
    </w:p>
    <w:p>
      <w:pPr>
        <w:spacing w:after="0" w:line="74" w:lineRule="exact"/>
        <w:rPr>
          <w:rFonts w:ascii="Times New Roman" w:cs="Times New Roman" w:eastAsia="Times New Roman" w:hAnsi="Times New Roman"/>
          <w:sz w:val="18"/>
          <w:szCs w:val="18"/>
          <w:color w:val="auto"/>
        </w:rPr>
      </w:pPr>
    </w:p>
    <w:p>
      <w:pPr>
        <w:ind w:left="503" w:hanging="503"/>
        <w:spacing w:after="0" w:line="268"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 into strategic collaborations to maximize the potential value of our platform and pipeline programs. </w:t>
      </w:r>
      <w:r>
        <w:rPr>
          <w:rFonts w:ascii="Times New Roman" w:cs="Times New Roman" w:eastAsia="Times New Roman" w:hAnsi="Times New Roman"/>
          <w:sz w:val="18"/>
          <w:szCs w:val="18"/>
          <w:color w:val="auto"/>
        </w:rPr>
        <w:t>Given our potential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novel product candidates addressing a wide variety of therapeutic indications, we may enter into strategic collaborations that involve our existing pipeline, our targets, our platform technology, and our future potential product candidates, on an opportunistic basis.</w:t>
      </w:r>
    </w:p>
    <w:p>
      <w:pPr>
        <w:spacing w:after="0" w:line="39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vision is to become a global leader in the biopharmaceutical industry that purposefully integrates advanced engineering into biopharmaceutical discovery to develop better medicines faster. We are currently focused on addressing immuno-responsive cancers requiring enhanced immune stimulation, advanced cancers with DNA repair abnormalities, and hormonally responsive cancers. Our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349240" cy="2202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i w:val="1"/>
          <w:iCs w:val="1"/>
          <w:color w:val="0E2841"/>
          <w:vertAlign w:val="superscript"/>
        </w:rPr>
        <w:t>1</w:t>
      </w:r>
      <w:r>
        <w:rPr>
          <w:rFonts w:ascii="Arial" w:cs="Arial" w:eastAsia="Arial" w:hAnsi="Arial"/>
          <w:sz w:val="10"/>
          <w:szCs w:val="10"/>
          <w:i w:val="1"/>
          <w:iCs w:val="1"/>
          <w:color w:val="0E2841"/>
        </w:rPr>
        <w:t xml:space="preserve">This Phase 2/3 trial is designed to proceed to completion, subject to interim analysis by a data monitoring committee, and to form the basis for registration; </w:t>
      </w:r>
      <w:r>
        <w:rPr>
          <w:rFonts w:ascii="Arial" w:cs="Arial" w:eastAsia="Arial" w:hAnsi="Arial"/>
          <w:sz w:val="13"/>
          <w:szCs w:val="13"/>
          <w:i w:val="1"/>
          <w:iCs w:val="1"/>
          <w:color w:val="0E2841"/>
          <w:vertAlign w:val="superscript"/>
        </w:rPr>
        <w:t>2</w:t>
      </w:r>
      <w:r>
        <w:rPr>
          <w:rFonts w:ascii="Arial" w:cs="Arial" w:eastAsia="Arial" w:hAnsi="Arial"/>
          <w:sz w:val="10"/>
          <w:szCs w:val="10"/>
          <w:i w:val="1"/>
          <w:iCs w:val="1"/>
          <w:color w:val="0E2841"/>
        </w:rPr>
        <w:t xml:space="preserve"> Phase 2 safety and efficacy study nearing completion; United States Food</w:t>
      </w:r>
    </w:p>
    <w:p>
      <w:pPr>
        <w:ind w:left="4720"/>
        <w:spacing w:after="0" w:line="186" w:lineRule="auto"/>
        <w:tabs>
          <w:tab w:leader="none" w:pos="7240" w:val="left"/>
          <w:tab w:leader="none" w:pos="8880" w:val="left"/>
        </w:tabs>
        <w:rPr>
          <w:sz w:val="20"/>
          <w:szCs w:val="20"/>
          <w:color w:val="auto"/>
        </w:rPr>
      </w:pPr>
      <w:r>
        <w:rPr>
          <w:rFonts w:ascii="Arial" w:cs="Arial" w:eastAsia="Arial" w:hAnsi="Arial"/>
          <w:sz w:val="6"/>
          <w:szCs w:val="6"/>
          <w:i w:val="1"/>
          <w:iCs w:val="1"/>
          <w:color w:val="0E2841"/>
          <w:vertAlign w:val="superscript"/>
        </w:rPr>
        <w:t>3</w:t>
      </w:r>
      <w:r>
        <w:rPr>
          <w:sz w:val="20"/>
          <w:szCs w:val="20"/>
          <w:color w:val="auto"/>
        </w:rPr>
        <w:tab/>
      </w:r>
      <w:r>
        <w:rPr>
          <w:rFonts w:ascii="Arial" w:cs="Arial" w:eastAsia="Arial" w:hAnsi="Arial"/>
          <w:sz w:val="6"/>
          <w:szCs w:val="6"/>
          <w:i w:val="1"/>
          <w:iCs w:val="1"/>
          <w:color w:val="0E2841"/>
          <w:vertAlign w:val="superscript"/>
        </w:rPr>
        <w:t>4</w:t>
      </w:r>
      <w:r>
        <w:rPr>
          <w:sz w:val="20"/>
          <w:szCs w:val="20"/>
          <w:color w:val="auto"/>
        </w:rPr>
        <w:tab/>
      </w:r>
      <w:r>
        <w:rPr>
          <w:rFonts w:ascii="Arial" w:cs="Arial" w:eastAsia="Arial" w:hAnsi="Arial"/>
          <w:sz w:val="6"/>
          <w:szCs w:val="6"/>
          <w:i w:val="1"/>
          <w:iCs w:val="1"/>
          <w:color w:val="0E2841"/>
          <w:vertAlign w:val="superscript"/>
        </w:rPr>
        <w:t>5</w:t>
      </w:r>
    </w:p>
    <w:p>
      <w:pPr>
        <w:spacing w:after="0"/>
        <w:tabs>
          <w:tab w:leader="none" w:pos="4760" w:val="left"/>
          <w:tab w:leader="none" w:pos="8920" w:val="left"/>
        </w:tabs>
        <w:rPr>
          <w:sz w:val="20"/>
          <w:szCs w:val="20"/>
          <w:color w:val="auto"/>
        </w:rPr>
      </w:pPr>
      <w:r>
        <w:rPr>
          <w:rFonts w:ascii="Arial" w:cs="Arial" w:eastAsia="Arial" w:hAnsi="Arial"/>
          <w:sz w:val="11"/>
          <w:szCs w:val="11"/>
          <w:i w:val="1"/>
          <w:iCs w:val="1"/>
          <w:color w:val="0E2841"/>
        </w:rPr>
        <w:t>and Drug Administration, or FDA, has allowed us to proceed with the Phase 2/3 registrational trial;</w:t>
        <w:tab/>
        <w:t>Greater China: China, Hong Kong, Macau, Taiwan;  Currently in preclinical research;</w:t>
      </w:r>
      <w:r>
        <w:rPr>
          <w:sz w:val="20"/>
          <w:szCs w:val="20"/>
          <w:color w:val="auto"/>
        </w:rPr>
        <w:tab/>
      </w:r>
      <w:r>
        <w:rPr>
          <w:rFonts w:ascii="Arial" w:cs="Arial" w:eastAsia="Arial" w:hAnsi="Arial"/>
          <w:sz w:val="10"/>
          <w:szCs w:val="10"/>
          <w:i w:val="1"/>
          <w:iCs w:val="1"/>
          <w:color w:val="0E2841"/>
        </w:rPr>
        <w:t>Milestone Achieved February 2026; Note:</w:t>
      </w:r>
    </w:p>
    <w:p>
      <w:pPr>
        <w:spacing w:after="0" w:line="200" w:lineRule="exact"/>
        <w:rPr>
          <w:sz w:val="20"/>
          <w:szCs w:val="20"/>
          <w:color w:val="auto"/>
        </w:rPr>
      </w:pPr>
    </w:p>
    <w:p>
      <w:pPr>
        <w:spacing w:after="0" w:line="37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product candidates and programs described above, we are also actively pursuing discovery research in oncology and neurologic disease.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EIK1001</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EIK1001 is a systemically administered TLR 7/8 dual-agonist with the potential to address multiple solid tumor types representing significant unmet medical needs. In completed Phase 1 trials across multiple tumor types, EIK1001 demonstrated what we believe is a compelling safety profile coupled with early signs of clinical activity as both a monotherapy, and in combination with pembrolizumab or atezolizumab. We are currently conducting a Phase 2 trial of EIK1001 of approximately 60 patients in combination with both pembrolizumab and histology appropriate chemotherapy for the treatment of NSCLC in multiple sites in the United States, and a global Phase 2/3 registrational trial of approximately 740 patients evaluating the optimal dose and efficacy of EIK1001 in combination with pembrolizumab versus pembrolizumab monotherapy for the treatment of patients with advanced melanoma in the United States, Australia, Denmark, Germany, Belgium, Austria, United Kingdom, Canada, South Africa, Spain, France, Switzerland, Sweden, Portugal, Israel, Czech Republic, Finland, Norway, Poland, Serbia, Italy, Hungary, South Korea, and New Zealand.</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illustrated in Figure 1 below, functioning through the dendritic cell pathway, TLR 7/8 agonists activate immune cells that specialize in antigen presentation and are responsible for the capture, processing, and presentation of antigens, exposing tumor-derived antigens in a form better recognized by T-cells. The immune response is further enhanced by the release of cytokines, which are also triggered by TLR 7/8 stimulation. The immunomodulatory activity provided by these mechanisms provides another pathway, distinct from effects of checkpoint proteins, such as PD-(L)1, that can enhance antitumor T-cell activity when used either alone or in combination with immune checkpoint inhibitors. Checkpoint inhibitors are compounds that specifically target and inhibit cell surface molecules, so-called “checkpoints,” that act as “brakes” on the activity of the immune system. The most well characterized class, anti-PD-(L)1 antibodies, have generally been shown to enhance therapeutic responses, delay tumor progression, promote durable responses, and increase overall survival rate by revealing the body’s immune response to the cancer in many cancer settings.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w:t>
      </w:r>
      <w:r>
        <w:rPr>
          <w:rFonts w:ascii="Times New Roman" w:cs="Times New Roman" w:eastAsia="Times New Roman" w:hAnsi="Times New Roman"/>
          <w:sz w:val="18"/>
          <w:szCs w:val="18"/>
          <w:color w:val="auto"/>
        </w:rPr>
        <w:t>: TLR 7/8 agonists such as EIK1001 activate the innate immune system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154305</wp:posOffset>
            </wp:positionV>
            <wp:extent cx="3042920" cy="2451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292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Indications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Melanoma of the skin is the fifth most common type of cancer in the United States based on estimated new cases in 2025, with increasing incidence worldwide in the past decade. According to the National Cancer Institute, it is estimated that approximately 105,000 patients will be newly diagnosed in the United States in 2025. With the advent of immune-therapies, such as anti-PD-(L)1 checkpoint inhibitors, melanoma mortality has declined, despite the parallel increase in its prevalence. While melanoma overall has a five-year relative survival rate of approximately 95%, patients with regional and distant metastatic disease have a five-year survival rate of approximately 76% and 35%, respectively. It is estimated that 8,400 people will die from the disease in the United States in 2025. As a result, there remains a critical unmet need to develop additional therapies for the treatment of patients with advanced melanoma.</w:t>
      </w:r>
    </w:p>
    <w:p>
      <w:pPr>
        <w:spacing w:after="0" w:line="18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Lung cancer is a critical public health issue with high morbidity and mortality worldwide. The National Cancer Institute estimates that, in 2025, approximately 227,000 patients in the United States will be diagnosed with lung cancer and 125,000 will die due to the disease. While localized lung cancer has a five-year relative survival rate of approximately 65%, patients with regional or distant metastatic disease have a five-year survival rate of approximately 37% and 9%, respectively. Lung cancer represents approximately 11% of all new cancer cases in the United States, and 20% of all cancer deaths. The diagnosis of lung cancer often occurs at advanced stages, rendering the disease incurable in many cases, and represents an important area of unmet medical need. NSCLC accounts for approximately 85% of lung cancers in the United States. Like advanced melanoma, NSCLC is known to be responsive to immune-therapy, such as anti-PD-(L)1 treatment.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Limitations of Current Treatment Options</w:t>
      </w:r>
    </w:p>
    <w:p>
      <w:pPr>
        <w:spacing w:after="0" w:line="117" w:lineRule="exact"/>
        <w:rPr>
          <w:sz w:val="20"/>
          <w:szCs w:val="20"/>
          <w:color w:val="auto"/>
        </w:rPr>
      </w:pPr>
    </w:p>
    <w:p>
      <w:pPr>
        <w:ind w:right="360" w:firstLine="509"/>
        <w:spacing w:after="0" w:line="289" w:lineRule="auto"/>
        <w:rPr>
          <w:sz w:val="20"/>
          <w:szCs w:val="20"/>
          <w:color w:val="auto"/>
        </w:rPr>
      </w:pPr>
      <w:r>
        <w:rPr>
          <w:rFonts w:ascii="Times New Roman" w:cs="Times New Roman" w:eastAsia="Times New Roman" w:hAnsi="Times New Roman"/>
          <w:sz w:val="17"/>
          <w:szCs w:val="17"/>
          <w:color w:val="auto"/>
        </w:rPr>
        <w:t>Immunotherapies, such as anti-PD-(L)1 antibodies, including pembrolizumab, nivolumab, and atezolizumab, as well as anti-CTLA-4 antibodies (e.g. ipilimumab), have demonstrated improved clinical outcomes for cancer patients. However, there are still many cancer patients who either do not respond to immunotherapy (primary resistance), or initially respond to immunotherapy but lose their response over time (secondary resistance).</w:t>
      </w:r>
    </w:p>
    <w:p>
      <w:pPr>
        <w:spacing w:after="0" w:line="1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 logical approach to addressing both primary and secondary resistance has been the exploration of the combination of checkpoint inhibitors with a partner molecule that could provide additional clinical benefit. However, few such combination strategies have succeeded to date. Combination partner molecules that have historically shown promise and were commercially successful have generally exhibited independent action (monotherapy activity) and a distinct, or orthogonal, mechanism of 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clinical application of immune agonists such as TLR agonists in cancer treatment has been limited by systemic toxicity. One attempted approach to reduce systemic toxicity from TLR agonists was administering the drug locally, or by injecting it directly into the tumor, a process known as intratumoral administration. This approach has been shown in clinical trials to be generally ineffective, either when administered as single agents, or when used in combination with checkpoint inhibitors. We believe that one potential reason for this is that intratumoral administration does not effectively activate the innate immune system in important secondary lymphoid tissues, such as the immune cells found in the lymph nodes and spleen.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EIK1001</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EIK1001 is a systemically administered TLR 7/8 dual-agonist in late-stage clinical development designed to address the limitations outlined above in the following ways:</w:t>
      </w:r>
    </w:p>
    <w:p>
      <w:pPr>
        <w:spacing w:after="0" w:line="50" w:lineRule="exact"/>
        <w:rPr>
          <w:sz w:val="20"/>
          <w:szCs w:val="20"/>
          <w:color w:val="auto"/>
        </w:rPr>
      </w:pPr>
    </w:p>
    <w:p>
      <w:pPr>
        <w:ind w:left="1020" w:right="28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action</w:t>
      </w:r>
      <w:r>
        <w:rPr>
          <w:rFonts w:ascii="Times New Roman" w:cs="Times New Roman" w:eastAsia="Times New Roman" w:hAnsi="Times New Roman"/>
          <w:sz w:val="18"/>
          <w:szCs w:val="18"/>
          <w:color w:val="auto"/>
        </w:rPr>
        <w:t>: We have observed EIK1001 to exhibit clinical activity as a monotherapy in patients with a range of advanced solid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tumors.</w:t>
      </w:r>
    </w:p>
    <w:p>
      <w:pPr>
        <w:spacing w:after="0" w:line="46" w:lineRule="exact"/>
        <w:rPr>
          <w:rFonts w:ascii="Times New Roman" w:cs="Times New Roman" w:eastAsia="Times New Roman" w:hAnsi="Times New Roman"/>
          <w:sz w:val="18"/>
          <w:szCs w:val="18"/>
          <w:color w:val="auto"/>
        </w:rPr>
      </w:pPr>
    </w:p>
    <w:p>
      <w:pPr>
        <w:ind w:left="1020" w:right="76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Orthogonal mechanism of action</w:t>
      </w:r>
      <w:r>
        <w:rPr>
          <w:rFonts w:ascii="Times New Roman" w:cs="Times New Roman" w:eastAsia="Times New Roman" w:hAnsi="Times New Roman"/>
          <w:sz w:val="18"/>
          <w:szCs w:val="18"/>
          <w:color w:val="auto"/>
        </w:rPr>
        <w:t>: The mechanism of enhancing antigen presentation is distinct from, and complementary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mechanistic features of checkpoint inhibitors, which are well-established in cancer biology and treatment.</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dose systemically</w:t>
      </w:r>
      <w:r>
        <w:rPr>
          <w:rFonts w:ascii="Times New Roman" w:cs="Times New Roman" w:eastAsia="Times New Roman" w:hAnsi="Times New Roman"/>
          <w:sz w:val="18"/>
          <w:szCs w:val="18"/>
          <w:color w:val="auto"/>
        </w:rPr>
        <w:t>: Clinical work on EIK1001 has identified a tolerable dose range allowing for systemic administration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activation of the innate immune system in immune cells broadly, including those found in the lymph nodes and spleen.</w:t>
      </w:r>
    </w:p>
    <w:p>
      <w:pPr>
        <w:spacing w:after="0" w:line="15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also believe that the design of EIK1001 to activate innate and adaptive immune anti-tumor responses creates the potential to explore additional indications, including both highly immunogenic tumors, which have been shown to be susceptible to immunotherapy, and moderately and low immunogenic tumors, where current immune therapies have demonstrated little to no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Ongoing Clinical Development of EIK1001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2/3 Registrational Trial: EIK1001 in Combination with Pembrolizumab for Advanced Melanoma</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EIK1001 in a global Phase 2/3 registrational trial to measure its efficacy and safety in combination with pembrolizumab versus pembrolizumab monotherapy for the treatment of patients with advanced melanoma in the United States, Australia, Denmark, Germany, Belgium, Austria, United Kingdom, Canada, South Africa, Spain, France, Switzerland, Sweden, Portugal, Israel, Czech Republic, Finland, Norway, Poland, Serbia, Italy, Hungary, South Korea, and New Zealand.</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This Phase 2/3 registrational trial is designed to enroll approximately 740 patients with advanced melanoma and who have not undergone prior systemic therapy. As illustrated below, the trial is being conducted in three parts.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2</w:t>
      </w:r>
      <w:r>
        <w:rPr>
          <w:rFonts w:ascii="Times New Roman" w:cs="Times New Roman" w:eastAsia="Times New Roman" w:hAnsi="Times New Roman"/>
          <w:sz w:val="18"/>
          <w:szCs w:val="18"/>
          <w:color w:val="auto"/>
        </w:rPr>
        <w:t>: Trial design of EIK1001 global Phase 2/3 registrational trial in advanced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194935" cy="127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493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 w:name="page18"/>
    <w:bookmarkEnd w:id="17"/>
    <w:p>
      <w:pPr>
        <w:spacing w:after="0" w:line="18" w:lineRule="exact"/>
        <w:rPr>
          <w:sz w:val="20"/>
          <w:szCs w:val="20"/>
          <w:color w:val="auto"/>
        </w:rPr>
      </w:pPr>
    </w:p>
    <w:p>
      <w:pPr>
        <w:jc w:val="both"/>
        <w:ind w:right="40" w:firstLine="509"/>
        <w:spacing w:after="0" w:line="237" w:lineRule="auto"/>
        <w:rPr>
          <w:sz w:val="20"/>
          <w:szCs w:val="20"/>
          <w:color w:val="auto"/>
        </w:rPr>
      </w:pPr>
      <w:r>
        <w:rPr>
          <w:rFonts w:ascii="Times New Roman" w:cs="Times New Roman" w:eastAsia="Times New Roman" w:hAnsi="Times New Roman"/>
          <w:sz w:val="18"/>
          <w:szCs w:val="18"/>
          <w:color w:val="auto"/>
        </w:rPr>
        <w:t>In the dose optimization portion, approximately 120 patients are expected to be randomized into three arms of equal size, stratified by prior anti-PD-1 adjuvant therapy, lactate dehydrogenase, or LDH, expression, and BRAF mutational status. Patients in two treatment arms are administered EIK1001 at a dose level of either 0.60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or 0.75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in each case in combination with 200mg of pembrolizumab dosed according to the approved label.</w:t>
      </w:r>
    </w:p>
    <w:p>
      <w:pPr>
        <w:ind w:right="40"/>
        <w:spacing w:after="0" w:line="254" w:lineRule="auto"/>
        <w:rPr>
          <w:sz w:val="20"/>
          <w:szCs w:val="20"/>
          <w:color w:val="auto"/>
        </w:rPr>
      </w:pPr>
      <w:r>
        <w:rPr>
          <w:rFonts w:ascii="Times New Roman" w:cs="Times New Roman" w:eastAsia="Times New Roman" w:hAnsi="Times New Roman"/>
          <w:sz w:val="18"/>
          <w:szCs w:val="18"/>
          <w:color w:val="auto"/>
        </w:rPr>
        <w:t>EIK1001 will be dosed once weekly for 27 weeks, and then once every three weeks for up to 77 weeks. Patients in the control arm will receive a placebo in combination with 200mg of pembrolizumab at the same time intervals. We plan to conduct an interim analysis to evaluate objective response rate, or overall response rate, or ORR, and safety, and to select the optimal dose of EIK1001 to administer in the remainder of the trial.</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Following the first interim analysis, the trial is designed to enroll an additional approximately 180 patients randomized into either a treatment arm receiving the selected dose of EIK1001 in combination with 200mg of pembrolizumab once weekly for 27 weeks, and then once every three weeks for the duration of the trial, or a control arm receiving placebo plus pembrolizumab. A second interim analysis under the supervision of a data monitoring committee will evaluate progression-free survival, or PFS, and, unless such committee determines otherwise, the trial will proceed to completion and form the basis for registration. In such event, we would enroll and randomize an additional approximately 440 patients. The primary dual endpoints would be PFS and overall survival, or OS. The secondary endpoints would be ORR and duration of response, or DOR.</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trial allows for sparing of patient numbers in the event that the efficacy results reviewed by the data monitoring committee at the second interim analysis are not encouraging. In this case, the trial may continue to follow the approximately 300 patients randomized in total, and the trial would be analyzed as a Phase 2 trial.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Trial: EIK1001 in Combination with Pembrolizumab and Chemotherapy for NSCLC</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conducting a Phase 2 trial to evaluate primarily the safety and tolerability of EIK1001 at two dose levels and in combination with both pembrolizumab and chemotherapy for the treatment of patients with NSCLC in multiple sites in the United States. Our primary objective is to determine the DLTs and AEs during the safety run-in phase, and assess AEs and AE-related discontinuations during the expansion phase. Secondary objectives are to evaluate preliminary signs of clinical activity through the ORR and DOR of EIK1001 in combination with pembrolizumab and chemotherapy. The design of this clinical trial is illustrated below.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w:t>
      </w:r>
      <w:r>
        <w:rPr>
          <w:rFonts w:ascii="Times New Roman" w:cs="Times New Roman" w:eastAsia="Times New Roman" w:hAnsi="Times New Roman"/>
          <w:sz w:val="18"/>
          <w:szCs w:val="18"/>
          <w:color w:val="auto"/>
        </w:rPr>
        <w:t>: Trial design of EIK1001 Phase 2 trial in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154305</wp:posOffset>
            </wp:positionV>
            <wp:extent cx="4663440" cy="1594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6344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color w:val="auto"/>
        </w:rPr>
        <w:t>In the safety run-in, we enrolled six patients in the nonsquamous and seven patients in the squamous cohorts and administered 0.45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of EIK1001 in combination with pembrolizumab and chemotherapy. In the dose expansion portion of the trial, we are enrolling approximately 25 additional patients per cohort and dosing each patient with 0.60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of EIK1001 in combination with pembrolizumab and chemotherapy. Treatments are planned to be administered once weekly for approximately six months, and thereafter once every three weeks, for a total trial duration of approximately 30 months.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completed the safety run-in phase for both arms of the trial. As of October 27, 2025, 43 United States National Comprehensive Cancer Network-, or NCCN-, designated clinical trial sites had been selected and 40 were open and active. A total of 97 patients were enrolled and 66 were dosed with EIK1001, 39 of whom had nonsquamous NSCLC and 27 of whom had squamous NSCLC. Overall, we observed the run-in dose was tolerable and no DLTs were reported. Overall, 30 patients (46%) experienced TRAEs of Grade 3 or higher. There were no Grade 3 or higher CRS events observed.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4</w:t>
      </w:r>
      <w:r>
        <w:rPr>
          <w:rFonts w:ascii="Times New Roman" w:cs="Times New Roman" w:eastAsia="Times New Roman" w:hAnsi="Times New Roman"/>
          <w:sz w:val="18"/>
          <w:szCs w:val="18"/>
          <w:color w:val="auto"/>
        </w:rPr>
        <w:t>: Summary of treatment-emergent AEs, or TEAEs, and treatment-related AEs, or TRAEs, observed for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203190" cy="2237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319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Eikon uses Common Terminology Criteria for Adverse Events, or CTCAE, a standardized classification and severity grading system developed by the US National Cancer Institute, or NCI, for use in clinical trials to describe and evaluate AEs. CTCAE lists thousands of specific AEs each with unified grading criteria from 1 to 5: Grade 1-mild, Grade 2-moderate, Grade 3-severe or medically significant but not immediately life-threatening, Grade 4-life-threatening consequences; urgent intervention required, and Grade 5-death related to the AE.</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CRS events are graded according to the same criteria. Historically, CRS has been associated with the administration of immune agonists, and for that reason we have watched carefully for signs of CRS in our clinical trials for EIK1001. Grade 3 CRS usually results in hospitalization and discontinuation of treatment. The absence of Grade 3 CRS permits out-patient administration of EIK1001 with minimal intervention required for Grade 1 or 2 CRS. Early on in the development of EIK1001, a small number of cases of Grade 3 CRS were observed, which led to exploration of changes to the dosing paradigm to avoid Grade 3 CRS. Since the change to dose calculation based on body surface area, we have observed only one case of Grade 3 CRS. No CRS events of Grade 4 or higher have been observed at any point.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TEAEs are AEs that appear or worsen after a patient begins treatment, regardless of whether the event is believed to be caused by the treatment.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TRAEs are AEs that the investigator judges to be related to the treatment.</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TRAE Serious is any TRAE that meets regulatory serious adverse event, or SAE, criteria including death, life-threatening event, hospitalization or prolonged hospitalization, causes disability, congenital anomaly, or requires intervention to prevent permanent impairment. In some instances, TRAE Serious include Grades 3, 4, or 5 as outlined above.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framework provides a uniform language for documenting and reporting side effects and ensures consistency in safety data reporting.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5</w:t>
      </w:r>
      <w:r>
        <w:rPr>
          <w:rFonts w:ascii="Times New Roman" w:cs="Times New Roman" w:eastAsia="Times New Roman" w:hAnsi="Times New Roman"/>
          <w:sz w:val="18"/>
          <w:szCs w:val="18"/>
          <w:color w:val="auto"/>
        </w:rPr>
        <w:t>: Summary of TEAEs observed in at least 20% of patients for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290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0319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6</w:t>
      </w:r>
      <w:r>
        <w:rPr>
          <w:rFonts w:ascii="Times New Roman" w:cs="Times New Roman" w:eastAsia="Times New Roman" w:hAnsi="Times New Roman"/>
          <w:sz w:val="18"/>
          <w:szCs w:val="18"/>
          <w:color w:val="auto"/>
        </w:rPr>
        <w:t>: Summary of Grade 3 or higher TEAEs observed in at least two patients for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2100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observed clinical activity of EIK1001 in combination with pembrolizumab and chemotherapy. Figure 7 and Figure 8 below illustrate patients’ change from baseline in target lesion size as of October 27, 2025, time on study treatment, and response by RECIST 1.1 as of the same date. Responses were observed in both the squamous and nonsquamous treatment groups and at both doses, with the majority of patients exhibiting tumor size reduction and only two patients (4%) showing tumor growth as the best response. The overall RECIST 1.1 response rate in the evaluable patients depicted in Figure 7 was 60% (32/53) with a rate of 56% (20/36) and 71% (12/17) in nonsquamous and squamous patients respectively. The spider plot depicted in Figure 9 further illustrates these findings.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these observations are positive, any trends relating to responses or activity in this Phase 2 trial would need to be confirmed in a larger, adequately powered and controlled pivotal study before efficacy can be determined. As of the date of this Annual Report, this study has been fully enrolled and we continue to monitor trial progress. We expect to submit data for presentation at a medical meeting in the second half of 2026.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w:t>
      </w:r>
      <w:r>
        <w:rPr>
          <w:rFonts w:ascii="Times New Roman" w:cs="Times New Roman" w:eastAsia="Times New Roman" w:hAnsi="Times New Roman"/>
          <w:sz w:val="18"/>
          <w:szCs w:val="18"/>
          <w:color w:val="auto"/>
        </w:rPr>
        <w:t xml:space="preserve"> 7: Observed best percentage change from baseline in target lesions per patient in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2040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31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1" w:name="page22"/>
    <w:bookmarkEnd w:id="2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 8</w:t>
      </w:r>
      <w:r>
        <w:rPr>
          <w:rFonts w:ascii="Times New Roman" w:cs="Times New Roman" w:eastAsia="Times New Roman" w:hAnsi="Times New Roman"/>
          <w:sz w:val="18"/>
          <w:szCs w:val="18"/>
          <w:color w:val="auto"/>
        </w:rPr>
        <w:t>: Observed time on study treatment and response by RECIST 1.1 per patient in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154305</wp:posOffset>
            </wp:positionV>
            <wp:extent cx="5212080" cy="5212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5212080"/>
                    </a:xfrm>
                    <a:prstGeom prst="rect">
                      <a:avLst/>
                    </a:prstGeom>
                    <a:noFill/>
                  </pic:spPr>
                </pic:pic>
              </a:graphicData>
            </a:graphic>
          </wp:anchor>
        </w:drawing>
      </w:r>
    </w:p>
    <w:p>
      <w:pPr>
        <w:sectPr>
          <w:pgSz w:w="11900" w:h="16838" w:orient="portrait"/>
          <w:cols w:equalWidth="0" w:num="1">
            <w:col w:w="10460"/>
          </w:cols>
          <w:pgMar w:left="84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840" w:top="1440" w:right="599" w:bottom="1440" w:gutter="0" w:footer="0" w:header="0"/>
          <w:type w:val="continuous"/>
        </w:sectPr>
      </w:pPr>
    </w:p>
    <w:bookmarkStart w:id="22" w:name="page23"/>
    <w:bookmarkEnd w:id="22"/>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9</w:t>
      </w:r>
      <w:r>
        <w:rPr>
          <w:rFonts w:ascii="Times New Roman" w:cs="Times New Roman" w:eastAsia="Times New Roman" w:hAnsi="Times New Roman"/>
          <w:sz w:val="18"/>
          <w:szCs w:val="18"/>
          <w:color w:val="auto"/>
        </w:rPr>
        <w:t>: Observed percentage change from baseline in target lesions per patient in EIK1001 Phase 2 trial in NSCLC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3051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8604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2/3 Registrational Trial: EIK1001 in Combination with Pembrolizumab for Stage 4 NSCLC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recently initiated site selection for a global Phase 2/3 registrational trial of approximately 750 patients to measure efficacy and safety of EIK1001 in combination with pembrolizumab and chemotherapy versus placebo with pembrolizumab and chemotherapy for the treatment of patients with stage 4 NSCLC. The FDA has allowed us to proceed with this trial. We anticipate dosing the first patient in this trial in the second half of 2026.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10</w:t>
      </w:r>
      <w:r>
        <w:rPr>
          <w:rFonts w:ascii="Times New Roman" w:cs="Times New Roman" w:eastAsia="Times New Roman" w:hAnsi="Times New Roman"/>
          <w:sz w:val="18"/>
          <w:szCs w:val="18"/>
          <w:color w:val="auto"/>
        </w:rPr>
        <w:t>: Trial design of EIK1001 Phase 2/3 registrational trial in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194935" cy="1448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9493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0" w:firstLine="8"/>
        <w:spacing w:after="0" w:line="233" w:lineRule="auto"/>
        <w:tabs>
          <w:tab w:leader="none" w:pos="1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arms, pembrolizumab is administered at a dose of 200mg (Q3W) according to label. | Abbreviations: NSCLC = non-small cell lung cancer; NSQ = non-squamous NSCLC; PD-L1 = programmed death-ligand 1; pts = participants; QW = once weekly; Q3W = once every 3 weeks; SQ = squamous NSCLC.</w:t>
      </w:r>
    </w:p>
    <w:p>
      <w:pPr>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Participants enrolled in Phase 2 will continue treatment during Phase 3.</w:t>
      </w:r>
    </w:p>
    <w:p>
      <w:pPr>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Participants enrolled in Phase 2 will be included in all analyses for Phase 2 and Phase 3.</w:t>
      </w:r>
    </w:p>
    <w:p>
      <w:pPr>
        <w:ind w:left="160" w:right="3700" w:hanging="144"/>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Dose allocation will not be unblinded; thus, participants in the arm where the dose was not selected during Dose Selection will continue treatment at the originally assigned dose.</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3" w:name="page24"/>
    <w:bookmarkEnd w:id="23"/>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Phase 1 Development</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Phase 1 trials of our TLR 7/8 dual-agonists, which were completed by our licensor, Seven and Eight, were conducted at NCCN-designated cancer centers in the United States.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EIK1001 in Combination with Pembrolizumab</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 Phase 1 open-label, dose-escalation trial of EIK1001 as a monotherapy, and in combination with pembrolizumab, 87 patients with advanced solid tumors with a median of three prior treatment regimens were allocated into treatment groups and received escalating doses of EIK1001 as a monotherapy, or in combination with pembrolizumab.</w:t>
      </w:r>
    </w:p>
    <w:p>
      <w:pPr>
        <w:spacing w:after="0" w:line="17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the EIK1001 monotherapy dose-escalation phase, among 35 participants in the efficacy analysis population, two (6%) experienced PR, and 14 (40%) experienced disease control, or DC, which included CR, PR, and stable disease, or SD. The two confirmed responders received EIK1001 at or above the 0.75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dose level, and the duration of response, or DOR, was two and eight months, respectively. These two participants received prior anti-PD-1 or anti-PD-L1 therapy. Among the 12 participants with best response as SD, one had duration of stable disease, or DOSD, of 15 months and three had a DOSD of six months. Figures 11, 12, and 13 further illustrate the details.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11</w:t>
      </w:r>
      <w:r>
        <w:rPr>
          <w:rFonts w:ascii="Times New Roman" w:cs="Times New Roman" w:eastAsia="Times New Roman" w:hAnsi="Times New Roman"/>
          <w:sz w:val="18"/>
          <w:szCs w:val="18"/>
          <w:color w:val="auto"/>
        </w:rPr>
        <w:t>: Observed best percentage change from baseline in target lesions and overall response for patients receiving EIK1001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2751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860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12</w:t>
      </w:r>
      <w:r>
        <w:rPr>
          <w:rFonts w:ascii="Times New Roman" w:cs="Times New Roman" w:eastAsia="Times New Roman" w:hAnsi="Times New Roman"/>
          <w:sz w:val="18"/>
          <w:szCs w:val="18"/>
          <w:color w:val="auto"/>
        </w:rPr>
        <w:t>: Observed time on study treatment and response by immune-related Response Evaluation Criteria in Solid Tumors, or irRECIST, in each dose level group receiving EIK1001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194935" cy="3248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9493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5" w:name="page26"/>
    <w:bookmarkEnd w:id="25"/>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13</w:t>
      </w:r>
      <w:r>
        <w:rPr>
          <w:rFonts w:ascii="Times New Roman" w:cs="Times New Roman" w:eastAsia="Times New Roman" w:hAnsi="Times New Roman"/>
          <w:sz w:val="18"/>
          <w:szCs w:val="18"/>
          <w:color w:val="auto"/>
        </w:rPr>
        <w:t>: Observed percentage change from baseline in target lesions in each dose level group receiving EIK1001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3248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8604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combination dose-escalation and dose-expansion phases, among 50 participants in the efficacy analysis population, seven (14%) experienced an objective response (with three CR and four PR) and 24 (48%) were observed to have DC. The clinical activity observed in the combination arm is further illustrated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14</w:t>
      </w:r>
      <w:r>
        <w:rPr>
          <w:rFonts w:ascii="Times New Roman" w:cs="Times New Roman" w:eastAsia="Times New Roman" w:hAnsi="Times New Roman"/>
          <w:sz w:val="18"/>
          <w:szCs w:val="18"/>
          <w:color w:val="auto"/>
        </w:rPr>
        <w:t>: Observed best percentage change from baseline in target lesions and overall response for patients receiving EIK1001 in combination with pembrolizumab.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114300</wp:posOffset>
            </wp:positionV>
            <wp:extent cx="5220335" cy="3591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2033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combination arm, the following were also observed:</w:t>
      </w:r>
    </w:p>
    <w:p>
      <w:pPr>
        <w:spacing w:after="0" w:line="124" w:lineRule="exact"/>
        <w:rPr>
          <w:sz w:val="20"/>
          <w:szCs w:val="20"/>
          <w:color w:val="auto"/>
        </w:rPr>
      </w:pPr>
    </w:p>
    <w:p>
      <w:pPr>
        <w:ind w:left="1020" w:right="10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combination with pembrolizumab, only a single response was observed in nine patients treated below 0.60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(one patient in the 0.30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treatment group).</w:t>
      </w:r>
    </w:p>
    <w:p>
      <w:pPr>
        <w:spacing w:after="0" w:line="28" w:lineRule="exact"/>
        <w:rPr>
          <w:rFonts w:ascii="Times New Roman" w:cs="Times New Roman" w:eastAsia="Times New Roman" w:hAnsi="Times New Roman"/>
          <w:sz w:val="18"/>
          <w:szCs w:val="18"/>
          <w:color w:val="auto"/>
        </w:rPr>
      </w:pPr>
    </w:p>
    <w:p>
      <w:pPr>
        <w:ind w:left="1020" w:right="40" w:hanging="503"/>
        <w:spacing w:after="0" w:line="23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0.60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EIK1001 in combination with pembrolizumab, 15 patients (46%) experienced disease control (defined as a PR, CR or SD). Two patients had an observed CR.</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response at any dose in combination with pembrolizumab was three to 38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observations are further illustrated below.</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15</w:t>
      </w:r>
      <w:r>
        <w:rPr>
          <w:rFonts w:ascii="Times New Roman" w:cs="Times New Roman" w:eastAsia="Times New Roman" w:hAnsi="Times New Roman"/>
          <w:sz w:val="18"/>
          <w:szCs w:val="18"/>
          <w:color w:val="auto"/>
        </w:rPr>
        <w:t>: Observed time on study treatment and response by irRECIST in each dose level group receiving EIK1001 in combination with pembrolizumab.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114300</wp:posOffset>
            </wp:positionV>
            <wp:extent cx="5092065" cy="3368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9206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16</w:t>
      </w:r>
      <w:r>
        <w:rPr>
          <w:rFonts w:ascii="Times New Roman" w:cs="Times New Roman" w:eastAsia="Times New Roman" w:hAnsi="Times New Roman"/>
          <w:sz w:val="18"/>
          <w:szCs w:val="18"/>
          <w:color w:val="auto"/>
        </w:rPr>
        <w:t>: Observed percentage change from baseline in target lesions in each dose level group receiving EIK1001 in combination with pembrolizumab.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114300</wp:posOffset>
            </wp:positionV>
            <wp:extent cx="3240405" cy="2606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4040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440" w:right="1139" w:bottom="1440" w:gutter="0" w:footer="0" w:header="0"/>
        </w:sectPr>
      </w:pPr>
    </w:p>
    <w:bookmarkStart w:id="28" w:name="page29"/>
    <w:bookmarkEnd w:id="28"/>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EIK1001 in Combination with Atezolizumab</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 Phase 1 open-label, dose-escalation trial of EIK1001 in combination with atezolizumab, 41 patients with advanced solid tumors were allocated into treatment groups receiving escalating doses of EIK1001 in combination with atezolizumab, where DC was observed.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combination arm, the following were observed:</w:t>
      </w:r>
    </w:p>
    <w:p>
      <w:pPr>
        <w:spacing w:after="0" w:line="12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0.75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EIK1001 in combination with atezolizumab, 13 patients (54%) experienced DC. One patient had observed CR.</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 in any dose in combination with atezolizumab was ten to 35 months.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Observations</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Clinical responses (including CR) were observed in the 128 heavily treated (mean of three prior treatment regimens), generally anti-PD-(L)1 unresponsive population evaluated in both Phase 1 trials of EIK1001 in combination with pembrolizumab and atezolizumab. Overall, a trend toward increased clinical activity at higher doses/exposure was observed, with a larger proportion of patients experiencing PRs or CRs at EIK1001 doses of 0.60 or 0.75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as both a monotherapy or in combination with pembrolizumab or atezolizumab.</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1 Pooled Safety Data</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total of 128 patients received EIK1001 in Phase 1 trials, including 36 receiving EIK1001 monotherapy and 92 receiving a combination with either pembrolizumab or atezolizumab. Across these clinical trials, EIK1001 as a monotherapy or in combination with pembrolizumab or atezolizumab was observed to be well-tolerated. The proportion of AEs, TEAEs, TRAEs, and TEAEs of Grade 3 or higher observed were similar for EIK1001 monotherapy and in combination with pembrolizumab or atezolizumab, as illustrated below.</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17</w:t>
      </w:r>
      <w:r>
        <w:rPr>
          <w:rFonts w:ascii="Times New Roman" w:cs="Times New Roman" w:eastAsia="Times New Roman" w:hAnsi="Times New Roman"/>
          <w:sz w:val="18"/>
          <w:szCs w:val="18"/>
          <w:color w:val="auto"/>
        </w:rPr>
        <w:t>: Pooled safety data of EIK1001 Phase 1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2280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80" w:firstLine="509"/>
        <w:spacing w:after="0" w:line="239" w:lineRule="auto"/>
        <w:rPr>
          <w:sz w:val="20"/>
          <w:szCs w:val="20"/>
          <w:color w:val="auto"/>
        </w:rPr>
      </w:pPr>
      <w:r>
        <w:rPr>
          <w:rFonts w:ascii="Times New Roman" w:cs="Times New Roman" w:eastAsia="Times New Roman" w:hAnsi="Times New Roman"/>
          <w:sz w:val="18"/>
          <w:szCs w:val="18"/>
          <w:color w:val="auto"/>
        </w:rPr>
        <w:t>Following the observation of CRS, which were Grade 3 in two patients initially dosed based on body weight (mg/kg) of the first nine patients, a change was made to calculate dosing based on body surface area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Following this change in dosing approach, approximately 110 more patients were dosed in the remainder of the Phase 1 trials based on body surface area, and one patient experienced a Grade 3 CRS. No CRS events of Grade 4 or higher were observed at any point.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In general, a trend toward higher frequency of AEs with higher doses of EIK1001 was observed; specifically, in combination with pembrolizumab, a higher frequency of AEs was observed at 0.75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compared with 0.60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Of the 63 patients that experienced TEAEs of Grade 3 or higher across all doses in both studies, 22 patients experienced disease progression or malignant neoplasm progression. Per protocol, disease progression was reported as an AE, and death was reported as a SAE regardless of whether it was due to disease progression. Overall, serious TRAEs included CRS (three patients</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 and the following with one patient (1%) each: nausea, pancreatitis, stomatitis, fatigue, infusion-related reaction, diabetic ketoacidosis, hemiparesis, and bronchospasm.</w:t>
      </w:r>
    </w:p>
    <w:p>
      <w:pPr>
        <w:spacing w:after="0" w:line="1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most common TEAEs observed in the monotherapy dose escalation phase were fatigue (ten patients (28%)), pyrexia (ten patients (28%)), chills (eight patients (22%)), disease progression (eight patients (22%)), anemia (seven patients (19%)), dyspnea (six patients (17%)), oedema peripheral (six patients (17%)), and vomiting (six patients (17%)). The most common TEAEs of Grade 3 or higher observed were disease progression (eight patients (22%)) and hypokalemia (two patients (6%)).</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combination with pembrolizumab, the most common TEAEs observed were fatigue (16 patients (31%)), pyrexia (15 patients (29%)), chills (15 patients (29%)), infusion-related reaction (eight patients (16%)), hypothyroidism (six patients (12%)), and CRS (five patients (10%)). The most common TEAE of Grade 3 or higher observed was fatigue (three patients (6%)), and one patient (2%) was observed to experience each of the following: blood alkaline phosphatase increase, CRS, hypertension, decreased joint range of motion, muscular weakness, pancreatitis, rash maculo-papular, skin plaque, and stomatitis.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combination with atezolizumab during the dose escalation phase, the most common TEAEs observed were fatigue (eight patients (38%)), vomiting (seven patients (33%)), constipation (six patients (29%)), pyrexia (six patients (29%)), chills (five patients (24%)), dyspnea (five patients (24%)), and nausea (five patients (24%)). In the dose expansion phase, the most common TEAEs observed were fatigue (14 patients (54%)) and chills (12 patients (46%)), with seven patients (27%) observed to experience each of nausea and pyrexia, six patients (23%) observed to experience each of decreased appetite and vomiting, five patients (19%) observed to experience each of back pain, constipation, cough, and dyspnea, and four patients (15%) observed to experience each of anemia, diarrhea, and rash maculo-papular. One instance of CRS was observed. The most common TEAEs of Grade 3 or higher observed were anemia (three patients (15%)), fatigue (three patients (15%)), ascites (two patients (10%)), disease progression (two patients (10%)) and hyponatremia (two patients (10%)).</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total of 22 deaths were reported during the Phase 1 trials of EIK1001. None of these deaths were considered TEAEs for EIK1001 monotherapy or in combination with pembrolizumab or atezolizumab. Rather, deaths were related to disease progression or to AEs that were most likely the result of other pre-existing conditions.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EIK1003 &amp; EIK1004</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EIK1003 and EIK1004 are selective PARP1 inhibitors. These product candidates are designed to be selective for PARP1 while sparing PARP2, thereby promoting tumor regression by targeting the DNA damage response of cancer cells.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PARP Inhibition</w:t>
      </w:r>
    </w:p>
    <w:p>
      <w:pPr>
        <w:spacing w:after="0" w:line="11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Poly (ADP-ribose) polymerases, or PARPs, are a family of proteins involved in several cellular processes, including DNA repair. PARP proteins bind to DNA breaks and initiate auto-poly-ADP-ribosylation, or PAR; these PAR chains are the signal for DNA damage repair proteins to recognize the break and initiate repair. PARP inhibitors target the DNA damage response of cancer cells.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are currently more than 15 PARP family members that have been identified, but PARP1 and PARP2 represent the best-characterized PARP family members and are responsible for the majority of PARP activity within cells. PARP1 is a critical sensor and signal transducer of DNA single-strand breaks, or SSBs, and functions as a DNA repair enzyme that promotes SSB repair through the base excision repair pathway. PARP1 rapidly detects and binds to DNA at the sites of SSBs, which stimulates PARP1 activation through an allosteric change in the structure of PARP1. PARP1 activation catalyzes a series of poly(ADP-ribosyl)ation, or PARylation, events that promote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recruitment of various components of the repair machinery to SSB sites. The enzymatic activity of PARP2 can also be stimulated by DNA strand interruptions. PARP2 is involved in the process of chromatin remodeling, as well as DNA metabolism and repair, indicating a role in the cellular response to DNA damage and maintenance of genomic stability.</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Inhibition of PARPs prevents the repair of common DNA SSBs, which leads to formation of double-strand breaks during DNA replication. Double-strand breaks in normal cells are repaired by homologous recombination, and normal cells are relatively tolerant of PARP inhibition. Cancer cells with deficiencies in the DNA damage repair pathway, or DDR, which are frequently observed in several cancers including ovarian, breast, prostate, and pancreatic cancer, may make associated tumors particularly sensitive to PARP inhibition. In particular, cancer cells with mutations in BRCA1/2, PALB2, RAD 51B, RAD 51C, RAD 51D, DSS1, RPA1, or CHK1 genes, key players in homologous recombination, are highly sensitive to PARP inhibition, a phenomenon called “synthetic lethality.”</w:t>
      </w:r>
    </w:p>
    <w:p>
      <w:pPr>
        <w:spacing w:after="0" w:line="187"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18</w:t>
      </w:r>
      <w:r>
        <w:rPr>
          <w:rFonts w:ascii="Times New Roman" w:cs="Times New Roman" w:eastAsia="Times New Roman" w:hAnsi="Times New Roman"/>
          <w:sz w:val="18"/>
          <w:szCs w:val="18"/>
          <w:color w:val="auto"/>
        </w:rPr>
        <w:t>: Inhibition of PARPs prevents the repair of common DNA SSBs, which leads to formation of double-strand breaks during DNA replication.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203190" cy="33864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3190"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Approved PARP inhibitors, such as olaparib, rucaparib, niraparib, and talazoparib, are generally designed to function with non-selective binding with similar potency against PARP1 compared with PARP2. However, we believe that the predominant antitumoral activity likely reflects PARP1 inhibition. Data suggests that PARP2 inhibition, which is common to all current first-generation PARP inhibitors, is linked to hematologic toxicities, particularly anemia. Emerging data on the mechanism of action of PARP inhibitors in cancer therapy have led to the development of next-generation PARP inhibitors with selectivity for PARP1, which could address toxicity issues related to PARP2 inhibition while maintaining anti-tumor activity.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19</w:t>
      </w:r>
      <w:r>
        <w:rPr>
          <w:rFonts w:ascii="Times New Roman" w:cs="Times New Roman" w:eastAsia="Times New Roman" w:hAnsi="Times New Roman"/>
          <w:sz w:val="18"/>
          <w:szCs w:val="18"/>
          <w:color w:val="auto"/>
        </w:rPr>
        <w:t>: With PARP1 selectively trapped at single-strand DNA breaks, PARP2 function is not inhibited.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154305</wp:posOffset>
            </wp:positionV>
            <wp:extent cx="5057775" cy="2228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577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Indications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EIK1003, we are targeting the indications of ovarian, breast, prostate, and pancreatic cancer, where deficiencies in the DDR pathway are frequently observed. For EIK1004, which is designed to be CNS-penetrant, we are targeting indications with a focus on cancers with deficiencies in DNA damage repair that have metastasized to the brain, or primary brain malignancies in combination with alkylating agents.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Ovarian cancer is the second most common cause of gynecologic cancer death with 324,400 new cases and 206,800 deaths worldwide in 2022. Among several histopathologic entities in ovarian cancer, epithelial ovarian cancer, or EOC, accounts for approximately 85% to 90% of all ovarian malignant tumors, and high-grade serous ovarian cancer is the major subtype of EOC, accounting for more than 70% of the same population. The relative five-year EOC survival rate for all stages is approximately 50% in the United States, with approximately 75% and 31% for regional and distant metastatic disease, respectively. Primary peritoneal and fallopian tube cancers are treated in the same manner as EOC due to their similar clinical characteristics and origins. Approximately 22% to 25% of women diagnosed with EOC have a hereditary predisposition to the disease, with mutations in BRCA1 and BRCA2 or less common alterations in other homologous recombination genes included in the BROCA-Cancer Risk Panel. PARP inhibitor maintenance therapy has become the standard of care, especially for patients with BRCA1 and BRCA2 mutations.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Breast cancer was the second largest cause of global cancer incidence in 2022, with an estimated 2.3 million new cases, representing 12% of all cancer cases and 24% of all cases in women. Breast cancer is also the fourth leading cause of cancer mortality worldwide, with an estimated 665,700 deaths and relative five-year survival rate of 91% in the United States, with 87% and 32% for regional and distant metastatic disease, respectively. Approximately 10% to 15% of patients with breast cancer have inherited DNA mutations: BRCA1 and BRCA2 mutations are two important breast cancer susceptibility genes that are critical in the DNA damage response. They are detected in approximately 5% of unselected patients with breast cancer and in approximately 20% to 40% of patients with a positive family history of breast or ovarian cancer.</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prostate cancer is the leading cancer diagnosis among men, and the second leading cause of cancer death among men, based on the National Cancer Institute’s report of estimated diagnoses and deaths in 2025. In 2022, there were an estimated almost 1.5 million new cases and 396,800 deaths worldwide.</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Globally, prostate cancer is predicted to increase to approximately 2.9 million new cases and approximately 700,000 deaths each year by the year 2040. Patients with advanced, recurrent, or metastatic prostate cancer who have never received androgen deprivation therapy, or ADT, (or are no longer receiving ADT for localized disease) with testosterone levels of at least 50 ng/dL are considered to have metastatic castration-sensitive prostate cancer,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mCSPC. The relative five-year survival rate for prostate cancer is approximately 98% in the United States, dropping down to approximately 38% for distant metastases. In patients who become refractory to ADT treatment with castrate testosterone levels, the disease is then categorized as metastatic castration-resistant prostate cancer, or mCRPC.</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Pancreatic cancer is the sixth leading cause of cancer-related deaths worldwide, with an estimated number of deaths of 467,400 in 2022. Pancreatic adenocarcinoma is the most common form of pancreatic cancer, as greater than 95% of malignant neoplasms in the pancreas arise from the exocrine portions of the gland (ductal and acinar cells) and demonstrate features consistent with adenocarcinoma. Of pancreatic adenocarcinomas, pancreatic ductal adenocarcinoma is the most common, and one of the most aggressive and lethal malignancies. Pancreatic cancer has a relative five-year survival rate of less than 13% in the United States for all stages, with approximately 16% and 3% for patients with regional or distant metastatic disease,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Limitations of Existing Treatment Options</w:t>
      </w:r>
    </w:p>
    <w:p>
      <w:pPr>
        <w:spacing w:after="0" w:line="117"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PARP inhibition has been explored to induce a synthetically lethal state in cancers with genotypic defects of single-strand DNA repair. Non-selective PARP inhibitors tend to produce myelosuppression, which is bone marrow suppression, or a condition where the bone marrow’s ability to produce immune and blood cells is reduced. Consequently, limitations include:</w:t>
      </w:r>
    </w:p>
    <w:p>
      <w:pPr>
        <w:spacing w:after="0" w:line="64" w:lineRule="exact"/>
        <w:rPr>
          <w:sz w:val="20"/>
          <w:szCs w:val="20"/>
          <w:color w:val="auto"/>
        </w:rPr>
      </w:pPr>
    </w:p>
    <w:p>
      <w:pPr>
        <w:ind w:left="1020" w:right="18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Combine Non-selective PARP Inhibitors with Other Therapies</w:t>
      </w:r>
      <w:r>
        <w:rPr>
          <w:rFonts w:ascii="Times New Roman" w:cs="Times New Roman" w:eastAsia="Times New Roman" w:hAnsi="Times New Roman"/>
          <w:sz w:val="18"/>
          <w:szCs w:val="18"/>
          <w:color w:val="auto"/>
        </w:rPr>
        <w:t>: Due to toxicity of non-selective PARP inhibitors,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with chemotherapy, which can also suppress the bone marrow, has generally not been feasible, and non-selective PARP usage has historically been limited to a maintenance paradigm, after completion of chemotherapy.</w:t>
      </w:r>
    </w:p>
    <w:p>
      <w:pPr>
        <w:spacing w:after="0" w:line="62"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Hematological Toxicities</w:t>
      </w:r>
      <w:r>
        <w:rPr>
          <w:rFonts w:ascii="Times New Roman" w:cs="Times New Roman" w:eastAsia="Times New Roman" w:hAnsi="Times New Roman"/>
          <w:sz w:val="18"/>
          <w:szCs w:val="18"/>
          <w:color w:val="auto"/>
        </w:rPr>
        <w:t>: In non-selective PARP inhibitor-treated patients, commonly observed toxicities include anemia,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thrombocytopenia, and neutropenia, which often lead to dose reductions, dose delays, treatment interruptions, or early discontinuation. These effects reduce relative dose intensity and potentially adversely affect clinical outcomes.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EIK1003 and EIK1004</w:t>
      </w:r>
    </w:p>
    <w:p>
      <w:pPr>
        <w:spacing w:after="0" w:line="11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EIK1003 is designed to be a novel selective PARP1 inhibitor and is in clinical development as a monotherapy and/or in combination with existing cancer treatments. EIK1004 is designed to be a novel selective PARP1 inhibitor capable of penetrating the CNS. We believe EIK1003 and EIK1004 have the potential to overcome the limitations of non-selective PARP inhibitors, and thereby potentially improve clinical outcomes, in the following ways:</w:t>
      </w:r>
    </w:p>
    <w:p>
      <w:pPr>
        <w:spacing w:after="0" w:line="64" w:lineRule="exact"/>
        <w:rPr>
          <w:sz w:val="20"/>
          <w:szCs w:val="20"/>
          <w:color w:val="auto"/>
        </w:rPr>
      </w:pPr>
    </w:p>
    <w:p>
      <w:pPr>
        <w:ind w:left="1020" w:right="24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Enable combination therapy</w:t>
      </w:r>
      <w:r>
        <w:rPr>
          <w:rFonts w:ascii="Times New Roman" w:cs="Times New Roman" w:eastAsia="Times New Roman" w:hAnsi="Times New Roman"/>
          <w:sz w:val="18"/>
          <w:szCs w:val="18"/>
          <w:color w:val="auto"/>
        </w:rPr>
        <w:t>: Having the ability to use EIK1003 and EIK1004 in combination with chemotherapy could allow for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in the treatment paradigm as opposed to maintenance therapy only.</w:t>
      </w:r>
    </w:p>
    <w:p>
      <w:pPr>
        <w:spacing w:after="0" w:line="46"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 hematologic toxicity</w:t>
      </w:r>
      <w:r>
        <w:rPr>
          <w:rFonts w:ascii="Times New Roman" w:cs="Times New Roman" w:eastAsia="Times New Roman" w:hAnsi="Times New Roman"/>
          <w:sz w:val="18"/>
          <w:szCs w:val="18"/>
          <w:color w:val="auto"/>
        </w:rPr>
        <w:t>: Whether in a maintenance or treatment paradigm, EIK1003 and EIK1004 have the potential to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hematologic toxicity compared to non-selective PARP inhibitors. Even in a maintenance paradigm, EIK1003 and EIK1004 have the potential to allow for improved relative dosing intensity, potentially enabling patients to remain on treatment longer before disease progression.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Ongoing Phase 1/2 Trial: EIK1003 in Monotherapy and in Combination with Androgen Receptor Pathway Inhibition and Chemotherapy</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commenced a global Phase 1/2 trial of EIK1003 in 2023. This trial is an open-label, multi-center, dose-escalation, dose-optimization, and dose-expansion trial designed to evaluate the safety, tolerability, pharmacokinetics, pharmacodynamics, and antitumor activity of EIK1003 as a monotherapy and in combination with anti-cancer agents in patients with advanced solid tumors. The trial is being conducted globally at sites in the United States, Australia, China, South Korea, Canada and the European Union.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 1 of this clinical trial is conducted in three cohorts, as illustrated below.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20</w:t>
      </w:r>
      <w:r>
        <w:rPr>
          <w:rFonts w:ascii="Times New Roman" w:cs="Times New Roman" w:eastAsia="Times New Roman" w:hAnsi="Times New Roman"/>
          <w:sz w:val="18"/>
          <w:szCs w:val="18"/>
          <w:color w:val="auto"/>
        </w:rPr>
        <w:t>: Trial design of Part 1 of EIK1003 Phase 1/2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2177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intermediate dose level (IDL) of 60 mg was added to Cohort 1A following the SMC review of the data after 160 mg dosing was completed</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Cohort 1A of Part 1 is a monotherapy dose escalation of EIK1003 enrolling approximately 70 patients with advanced ovarian, breast, prostate, or pancreatic cancer with one of the following set of genetic mutations: BRCA1, BRCA2, PALB2, RAD 51B, RAD 51C, or RAD 51D.</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Cohort 1B of Part 1 is a combination regimen dose escalation of EIK1003 in combination with abiraterone and prednisone enrolling approximately 40 patients with mCRPC, and mCSPC, with one of the following genetic mutations: BRCA1, BRCA2, PALB2, ATM, ATR, CDK12, CHEK2, FANCA, MLH1, MRE11A, NBN, RAD51B, RAD51C, or RAD51D.</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Cohort 1C of Part 1 of this trial is a combination regimen dose escalation of EIK1003 in combination with paclitaxel chemotherapy enrolling approximately 40 patients with platinum-resistant ovarian and breast cancer in a genetically unselected population.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actively planning further development of EIK1003 in combination with other treatments, including platinum and paclitaxel therapy, with the initiation of Cohort 1D evaluating this combination in breast and ovarian cancer anticipated in the second half of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Cohort 1A: EIK1003 Monotherapy</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Cohort 1A evaluated EIK1003 monotherapy in patients with advanced solid tumors, including ovarian, breast, prostate or pancreatic cancer with selected genotypic mutations using a Bayesian Optimal Interval, or BOIN, dose escalation design. The primary objectives are to assess safety and tolerability of EIK1003 and to determine the MTD (or maximum administered dose, or MAD) and recommended dose(s) for expansion, or RDE. Secondary objectives include preliminary assessment of anti-tumor activity and characterization of pharmacokinetic, or PK, parameters.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October 27, 2025, dose escalation in Cohort 1A had been completed with 65 patients enrolled across six ascending dose levels ranging from 10mg to 160mg. While dose-limiting toxicities were observed at the higher dose levels of 80mg and 160mg, an MTD was not formally established.</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Overall, hematologic toxicity was observed to be minimal. The most common TEAEs of any grade included nausea (42% (27/65)), fatigue (32% (21/65)), and tachycardia (32% (21/65)). High-grade (Grade ≥3) anemia and neutropenia events were infrequent, occurring in 9% (6/65) and 8% (5/65) of patients, respectively (see Figure 23).</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DLT events of sinus tachycardia were observed at the highest dose levels (two in the 80mg backfill dose level and one in the 160mg dose level). The observed hematologic profile for EIK1003 represents a potential differentiation from non-selective PARP1/2 inhibitors, which are typically associated with higher rates of hematological toxicities in published studies.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observed clinical activity across dose levels evaluated, with evidence of target lesion size reduction and durable responses in Figure 24. In the RECIST-evaluable population (n=49), the ORR was 14% (7/49). When analyzed by tumor type, ORRs were 13% (2/16) in breast cancer patients and 15% (4/27) in ovarian cancer patients (Figure 25). Notably, the ORR in PARPi naïve patients was 31% (5/16), suggesting enhanced activity in a PARPi naïve population.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these preliminary observations are encouraging, the Phase 1/2 study design was not powered to definitively assess for efficacy. Any conclusions regarding response rate trends or clinical activity will require confirmation in a larger, adequately powered and controlled pivotal Phase 3 study.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Dose Optimization Strategy and Regulatory Alignment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Following completion of Cohort 1A dose escalation, we reached agreement with the FDA on a dose optimization strategy for Part 2 of the trial. Part 2 will evaluate two dose levels, 20 mg and 60 mg, to determine the appropriate Recommended Phase 2 Dose, or RP2D, for EIK1003. Approximately 30 PARPi-naïve, HER2-negative breast cancer patients will be enrolled at each dose level. As of the date of this Annual Report, we have begun dosing patients for Part 2 of this trial.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21</w:t>
      </w:r>
      <w:r>
        <w:rPr>
          <w:rFonts w:ascii="Times New Roman" w:cs="Times New Roman" w:eastAsia="Times New Roman" w:hAnsi="Times New Roman"/>
          <w:sz w:val="18"/>
          <w:szCs w:val="18"/>
          <w:color w:val="auto"/>
        </w:rPr>
        <w:t>: Summary of AEs observed for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777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Figure 22</w:t>
      </w:r>
      <w:r>
        <w:rPr>
          <w:rFonts w:ascii="Times New Roman" w:cs="Times New Roman" w:eastAsia="Times New Roman" w:hAnsi="Times New Roman"/>
          <w:sz w:val="17"/>
          <w:szCs w:val="17"/>
          <w:color w:val="auto"/>
        </w:rPr>
        <w:t>: Summary of TEAEs (all grade &gt;15%) by type observed in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161925</wp:posOffset>
            </wp:positionV>
            <wp:extent cx="5186045" cy="2005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8604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 23</w:t>
      </w:r>
      <w:r>
        <w:rPr>
          <w:rFonts w:ascii="Times New Roman" w:cs="Times New Roman" w:eastAsia="Times New Roman" w:hAnsi="Times New Roman"/>
          <w:sz w:val="18"/>
          <w:szCs w:val="18"/>
          <w:color w:val="auto"/>
        </w:rPr>
        <w:t>: Summary of Grade 3+ TEAE (&gt;2%) observed in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154305</wp:posOffset>
            </wp:positionV>
            <wp:extent cx="5186045" cy="1903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40" w:top="1440" w:right="419" w:bottom="1440" w:gutter="0" w:footer="0" w:header="0"/>
        </w:sectPr>
      </w:pPr>
    </w:p>
    <w:bookmarkStart w:id="36" w:name="page37"/>
    <w:bookmarkEnd w:id="36"/>
    <w:p>
      <w:pPr>
        <w:spacing w:after="0" w:line="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24</w:t>
      </w:r>
      <w:r>
        <w:rPr>
          <w:rFonts w:ascii="Times New Roman" w:cs="Times New Roman" w:eastAsia="Times New Roman" w:hAnsi="Times New Roman"/>
          <w:sz w:val="18"/>
          <w:szCs w:val="18"/>
          <w:color w:val="auto"/>
        </w:rPr>
        <w:t>: Best percentage change from baseline observed in target lesions by dose level in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2237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25</w:t>
      </w:r>
      <w:r>
        <w:rPr>
          <w:rFonts w:ascii="Times New Roman" w:cs="Times New Roman" w:eastAsia="Times New Roman" w:hAnsi="Times New Roman"/>
          <w:sz w:val="18"/>
          <w:szCs w:val="18"/>
          <w:color w:val="auto"/>
        </w:rPr>
        <w:t>: Observed best percentage change from baseline in target lesions by tumor type in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2237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Figure 26</w:t>
      </w:r>
      <w:r>
        <w:rPr>
          <w:rFonts w:ascii="Times New Roman" w:cs="Times New Roman" w:eastAsia="Times New Roman" w:hAnsi="Times New Roman"/>
          <w:sz w:val="18"/>
          <w:szCs w:val="18"/>
          <w:color w:val="auto"/>
        </w:rPr>
        <w:t>: Observed time on study treatment and response by RECIST 1.1 in Cohort 1A (Monotherapy)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114300</wp:posOffset>
            </wp:positionV>
            <wp:extent cx="4852035" cy="4989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52035"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Cohort 1B: EIK1003 in Combination with Abiraterone+Prednisone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Cohort 1B is evaluating EIK1003 in combination with abiraterone acetate and prednisone in patients with mCRPC and mCSPC with selected genotype mutations using a BOIN dose escalation design. The primary objectives are to assess safety and tolerability of EIK1003 when combined with standard doses of abiraterone (1000mg daily) and prednisone (either 5mg twice daily or once daily), and to determine the MTD (or MAD) and RDE for the combination. Secondary objectives include assessment of anti-tumor activity and characterization of PK parameters for the combination.</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27, 2025, dose escalation in Cohort 1B was ongoing. As of that date, 12 patients had been enrolled across three completed dose levels (10mg to 40mg) with patients being enrolled at the 60mg dose level.</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 DLTs had been reported as of October 27, 2025 (Figure 27), suggesting EIK1003 can be combined with abiraterone and prednisone in metastatic prostate cancer patients.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observed preliminary clinical activity in this combination, with evidence of both RECIST responses and PSA declines. Activity was observed starting at the lowest dose level of 10mg of EIK1003, with three RECIST PRs (two confirmed, one unconfirmed), and three PSA 50 responses (≥50% decline from baseline), as depicted in Figure 28 and Figure 29, respectively.</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Given the ongoing nature of dose escalation, these data are preliminary and patient numbers are limited. Any conclusions regarding response rate trends of clinical activity will require confirmation in a larger, adequately powered and controlled pivotal study. We anticipate completing dose escalation in Cohort 1B in the second half of 2026, at which point we will determine whether to advance this combination further in development.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27</w:t>
      </w:r>
      <w:r>
        <w:rPr>
          <w:rFonts w:ascii="Times New Roman" w:cs="Times New Roman" w:eastAsia="Times New Roman" w:hAnsi="Times New Roman"/>
          <w:sz w:val="18"/>
          <w:szCs w:val="18"/>
          <w:color w:val="auto"/>
        </w:rPr>
        <w:t>: Summary of AEs observed for Cohort 1B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194935" cy="254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9493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Figure 28</w:t>
      </w:r>
      <w:r>
        <w:rPr>
          <w:rFonts w:ascii="Times New Roman" w:cs="Times New Roman" w:eastAsia="Times New Roman" w:hAnsi="Times New Roman"/>
          <w:sz w:val="17"/>
          <w:szCs w:val="17"/>
          <w:color w:val="auto"/>
        </w:rPr>
        <w:t>: Observed best percentage change from baseline in target lesions by dose level in Cohort 1B of EIK1003 Phase 1/2 trial as of October 27,</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2383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29</w:t>
      </w:r>
      <w:r>
        <w:rPr>
          <w:rFonts w:ascii="Times New Roman" w:cs="Times New Roman" w:eastAsia="Times New Roman" w:hAnsi="Times New Roman"/>
          <w:sz w:val="18"/>
          <w:szCs w:val="18"/>
          <w:color w:val="auto"/>
        </w:rPr>
        <w:t>: Observed PSA reduction from baseline by dose level in Cohort 1B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2254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Cohort 1C: EIK1003 in Combination with Paclitaxel</w:t>
      </w:r>
    </w:p>
    <w:p>
      <w:pPr>
        <w:spacing w:after="0" w:line="11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Cohort 1C is evaluating EIK1003 in combination with paclitaxel in patients with platinum-resistant ovarian cancer and breast cancer in an unselected population using a BOIN dose escalation design. This cohort is designed to establish proof-of-concept for the combinability of selective PARP1 inhibitors with chemotherapy, an approach that has been historically challenging with non-selective PARP inhibitors due to overlapping hematologic toxicities. The primary objectives are to assess safety and tolerability of EIK1003 when combined with weekly paclitaxel and to determine the MTD (or MAD) and RDE of the combination. Paclitaxel is administered weekly at 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intravenously with appropriate supportive care measures, including granulocyte colony-stimulating factor, or G-CSF, as needed. Secondary objectives include assessment of anti-tumor activity and characterization of PK parameters for the combination.</w:t>
      </w:r>
    </w:p>
    <w:p>
      <w:pPr>
        <w:spacing w:after="0" w:line="19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October 27, 2025, dose escalation in Cohort 1C was still ongoing. As of that date, 37 patients had been enrolled across four dose levels (10mg to 60mg) with patients being enrolled at the 60mg dose level. The safety profile was generally consistent with the known toxicity profiles of paclitaxel and EIK1003 monotherapy, with AEs managed through standard medical interventions including dose delays, dose modifications, and growth factor support, as clinically indicated, suggesting the potential for EIK1003 to be combined with paclitaxel in platinum-resistant ovarian cancer patients and breast cancer patients when appropriate supportive care measures are employed.</w:t>
      </w:r>
    </w:p>
    <w:p>
      <w:pPr>
        <w:spacing w:after="0" w:line="183"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With supportive care measures up to the 40mg dose level, no DLTs have been reported. At the 60mg dose level, safety assessment is still ongoing. Conclusions regarding the optimal dose of EIK1003 for combination with paclitaxel will be informed by the totality of safety, PK/pharmacodynamics, or PD, and efficacy data across all the dose levels evaluated.</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Cohort 1C was designed as a proof-of-concept cohort to evaluate the combinability of EIK1003 with chemotherapy and was not designed or powered to establish efficacy. However, of the 17 evaluable patients as of October 27, 2025, we have observed clinical activity in the combination, including four PRs (three confirmed, one unconfirmed), and one CR across multiple dose levels, as depicted in Figure 30 and Figure 31, respectively. DOR data are still maturing in Cohort 1C.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 ongoing nature of dose escalation, these data are preliminary and patient numbers are limited. Any conclusions regarding response rate trends of clinical activity will require confirmation in a larger, adequately powered and controlled pivotal study. In the second half of 2026, we anticipate completing dose escalation in Cohort 1C and plan to read out data from existing cohorts (1A, 1B, and 1C). We are actively planning further development of EIK1003 in combination with other treatments, including platinum and paclitaxel therapy, with initiation of Cohort 1D evaluating this combination in breast and ovarian cancer anticipated in the second half of 2026.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30</w:t>
      </w:r>
      <w:r>
        <w:rPr>
          <w:rFonts w:ascii="Times New Roman" w:cs="Times New Roman" w:eastAsia="Times New Roman" w:hAnsi="Times New Roman"/>
          <w:sz w:val="18"/>
          <w:szCs w:val="18"/>
          <w:color w:val="auto"/>
        </w:rPr>
        <w:t>: Observed best percentage change from baseline in target lesions by dose level in Cohort 1C of EIK1003 Phase 1/2 trial as of October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2228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31</w:t>
      </w:r>
      <w:r>
        <w:rPr>
          <w:rFonts w:ascii="Times New Roman" w:cs="Times New Roman" w:eastAsia="Times New Roman" w:hAnsi="Times New Roman"/>
          <w:sz w:val="18"/>
          <w:szCs w:val="18"/>
          <w:color w:val="auto"/>
        </w:rPr>
        <w:t>: Observed best percentage change from baseline in target lesions by tumor type in Cohort 1C of EIK1003 Phase 1/2 trial as of October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2228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32</w:t>
      </w:r>
      <w:r>
        <w:rPr>
          <w:rFonts w:ascii="Times New Roman" w:cs="Times New Roman" w:eastAsia="Times New Roman" w:hAnsi="Times New Roman"/>
          <w:sz w:val="18"/>
          <w:szCs w:val="18"/>
          <w:color w:val="auto"/>
        </w:rPr>
        <w:t>: Observed time on study treatment and response by RECIST 1.1 in Cohort 1C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3282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33</w:t>
      </w:r>
      <w:r>
        <w:rPr>
          <w:rFonts w:ascii="Times New Roman" w:cs="Times New Roman" w:eastAsia="Times New Roman" w:hAnsi="Times New Roman"/>
          <w:sz w:val="18"/>
          <w:szCs w:val="18"/>
          <w:color w:val="auto"/>
        </w:rPr>
        <w:t>: Summary of AEs observed for Cohort 1C of EIK1003 Phase 1/2 trial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22459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0319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EIK1003 Preclinical Data</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licensor for EIK1003 and EIK1004, Impact Therapeutics (Shanghai) Inc., or Impact, conducted preclinical studies to examine the pharmacological, pharmacokinetic/toxicokinetic, and toxicological profiles of EIK1003, and we believe the preclinical data support the potential of EIK1003 as a selective PARP1 inhibitor, with potential to be used as a monotherapy or in combination with chemotherapy or with androgen pathway receptor</w:t>
      </w:r>
    </w:p>
    <w:p>
      <w:pPr>
        <w:spacing w:after="0" w:line="3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42" w:name="page43"/>
    <w:bookmarkEnd w:id="42"/>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inhibitors to reduce tumor size. Overall, EIK1003 was observed to demonstrate potent and selective in vitro activity. In preclinical studies, EIK1003 was observed to be approximately 600-fold more selective on PARP1 over PARP2 for biochemical inhibition and greater than 20 thousand-fold on PARP1 over PARP2 for DNA trapping.</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preclinical studies, EIK1003 was observed to inhibit colony formation in BRCA2 knock-out human colon cancer cell line, DLD1, with an IC50 value of 0.23 nM, but not in the wild-type DLD1. Similarly, EIK1003 was observed to cause significant growth inhibition in the human ovarian cancer cell line (UWB1.289 BRCA1m) with the IC50 value of 8.38 nM, but not in UWB1.289 with BRCA overexpression, indicating that BRCA expressing cell lines are resistant to the EIK1003 treatment. A good inhibitory effect on the proliferation of a triple-negative breast cancer cell line (MDA-MB-436) with the IC50 value of 1.20 nM was also observed.</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EIK1003 was observed to exhibit significant tumor growth inhibition, or TGI, in MDA-MB-436, a breast cancer cell line xenograft model in female BALB/c nude mice and non-obese diabetic severe combined immunodeficiency, or NOD-SCID, mice. The minimum efficacious dose in both models was 0.1 mg/kg when administered orally for four weeks with TGI of at least 82%. Furthermore, tumor regression in NOD-SCID mice approximately 28 and 40 days after drug withdrawal at 1 and 10 mg/kg doses of EIK1003, respectively, was observed. The graph set forth below further illustrates the clinical activity of EIK1003 in relation to TGI.</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34</w:t>
      </w:r>
      <w:r>
        <w:rPr>
          <w:rFonts w:ascii="Times New Roman" w:cs="Times New Roman" w:eastAsia="Times New Roman" w:hAnsi="Times New Roman"/>
          <w:sz w:val="18"/>
          <w:szCs w:val="18"/>
          <w:color w:val="auto"/>
        </w:rPr>
        <w:t>: Tumor growth inhibition of 122% observed for EIK1003 in MDA-MB-436 Xenograft model at 0.5mg/kg.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154305</wp:posOffset>
            </wp:positionV>
            <wp:extent cx="3068955" cy="2948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895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Absorption, distribution, metabolism, and excretion studies have evaluated potential human exposure and potential for drug-drug interactions. A complete preclinical toxicology package has been assembled. There was no observed effect level on the CNS and respiratory system after a single oral administration of EIK1003 (5, 10, and 15 mg/kg) in rats was 15 mg/kg. EIK1003 had no effects on cardiovascular function in a telemetry study in dogs after single oral doses (1, 3, and 10 mg/kg), except for a decrease in blood pressure and an increase in the heart rate at doses of at least 3 mg/kg. The above changes recovered at 24 hours after administration (except for the heart rate changes in females at 10 mg/kg).</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adequate target coverage was observed upon both single and repeat dosing from 10 to 80 mg in pharmacokinetic studies, as illustrated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35</w:t>
      </w:r>
      <w:r>
        <w:rPr>
          <w:rFonts w:ascii="Times New Roman" w:cs="Times New Roman" w:eastAsia="Times New Roman" w:hAnsi="Times New Roman"/>
          <w:sz w:val="18"/>
          <w:szCs w:val="18"/>
          <w:color w:val="auto"/>
        </w:rPr>
        <w:t>: Greater than 24 hour half-life for EIK1003 in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154305</wp:posOffset>
            </wp:positionV>
            <wp:extent cx="4183380" cy="26142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8338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EIK1004</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development of EIK1003, we have commenced a first-in-human program to evaluate EIK1004 as a highly selective PARP1 inhibitor capable of penetrating the CNS. In so doing, we believe EIK1004 offers the possibility of treating cancers metastatic to the brain with appropriate genotypic abnormalities. In addition, we may also explore the application of EIK1004 for the treatment of patients with primary brain malignancies in combination with alkylating agents.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Indications</w:t>
      </w:r>
    </w:p>
    <w:p>
      <w:pPr>
        <w:spacing w:after="0" w:line="11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Tumors that metastasize to the brain are problematic, as many approved therapies lack the ability to penetrate the blood-brain barrier. Of the tumor types that are particularly sensitive to PARP inhibition, breast cancer has the highest rate of brain metastases, with approximately 15 to 20% of patients developing CNS metastases during the course of their disease. This incidence of brain metastases is increasing due to the longer survival of breast cancer patients. Additionally, there is emerging clinical evidence that suggest the prevalence of homologous recombination deficiency is increased in brain metastases caused by a primary breast cancer, making this a key potential population to develop a brain-penetrant selective PARP1 inhibitor.</w:t>
      </w:r>
    </w:p>
    <w:p>
      <w:pPr>
        <w:spacing w:after="0" w:line="183"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Additionally, primary brain malignancies, such as malignant gliomas, have been shown preclinically to be sensitive to PARP inhibition in combination with a DNA damaging chemotherapy, temozolomide, or ionizing radiation.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Ongoing Clinical Development of EIK1004</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conducting a Phase 1/2 trial of EIK1004 as an open-label, multicenter, dose-escalation and dose-optimization trial designed to investigate the safety and tolerability, PK, PD, and the preliminary antitumor activity of EIK1004 in patients with advanced solid tumors, including in patients with or without active brain metastases. The study is being conducted at sites in the United States, Canada, South Korea, China, Australia, and the European Union. Our goal in Part 1 is to establish the MTD, and/or recommended doses for expansion for EIK1004 for subsequent dose optimization in Part 2. This trial is also designed to explore potential biomarkers of EIK1004, which may correlate with its clinical activity.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0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Part 1 is a monotherapy dose escalation of EIK1004 enrolling approximately 70 patients with advanced ovarian, breast, prostate, or pancreatic cancer, with or without active brain metastases, with one of the following set of genetic mutations: BRCA1, BRCA2, PALB2, RAD51B, RAD51C, or RAD51D.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design of this clinical trial is illustrated below.</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36</w:t>
      </w:r>
      <w:r>
        <w:rPr>
          <w:rFonts w:ascii="Times New Roman" w:cs="Times New Roman" w:eastAsia="Times New Roman" w:hAnsi="Times New Roman"/>
          <w:sz w:val="18"/>
          <w:szCs w:val="18"/>
          <w:color w:val="auto"/>
        </w:rPr>
        <w:t>: EIK1004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2691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4"/>
          <w:szCs w:val="14"/>
          <w:color w:val="auto"/>
        </w:rPr>
        <w:t>DL = dose level; HER2 = human epidermal growth factor 2; PARPi = poly-ADP-ribose polymerase inhibitor; RP2D = recommended Phase 2 dose. Note: For Part 1, dose levels of 240 mg and 360 mg may be enrolled (intermediate doses may also be employed if deemed appropriate by safety monitoring committee). For Part 2, participants will be randomized to dose levels with an equal ratio.</w:t>
      </w:r>
    </w:p>
    <w:p>
      <w:pPr>
        <w:spacing w:after="0" w:line="34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Part 1 evaluates EIK1004 monotherapy in patients with advanced solid tumors, including ovarian, breast, prostate, or pancreatic cancer, with or without active brain metastases, with selected genotypic mutations using a BOIN dose escalation design. The primary objectives are to assess safety and tolerability of EIK1004 and to determine the MTD (or MAD) and RDE. Secondary objectives include preliminary assessment of anti-tumor activity and characterization of PK parameters.</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October 27, 2025, dose escalation in Part 1 was ongoing. As of that date, sixteen patients had been enrolled across three dose levels ranging from 10mg to 40mg, and no DLTs had been reported (Figure 37). We observed preliminary activity in the monotherapy dose escalation, with an unconfirmed PR observed at the 10mg dose level.</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 ongoing nature of dose escalation, these data are preliminary and patient numbers are limited. Any conclusions regarding response rate trends of clinical activity will require confirmation in a larger, adequately powered and controlled pivotal study. We anticipate completing dose escalation for EIK1004 in the second half of 2026, dependent on reaching a MTD, at which point we will review the totality of safety, PK/PD, and efficacy data from Part 1 to determine the appropriate doses for further optimization in Part 2 of the study. Based on this data, we may also initiate further studies in metastatic CNS disease.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37</w:t>
      </w:r>
      <w:r>
        <w:rPr>
          <w:rFonts w:ascii="Times New Roman" w:cs="Times New Roman" w:eastAsia="Times New Roman" w:hAnsi="Times New Roman"/>
          <w:sz w:val="18"/>
          <w:szCs w:val="18"/>
          <w:color w:val="auto"/>
        </w:rPr>
        <w:t>: Summary of AEs observed in Part 1 (Monotherapy) for EIK1004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20142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0319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Figure 38</w:t>
      </w:r>
      <w:r>
        <w:rPr>
          <w:rFonts w:ascii="Times New Roman" w:cs="Times New Roman" w:eastAsia="Times New Roman" w:hAnsi="Times New Roman"/>
          <w:sz w:val="17"/>
          <w:szCs w:val="17"/>
          <w:color w:val="auto"/>
        </w:rPr>
        <w:t>: Observed best percentage change from baseline in target lesions by dose level and tumor type for EIK1004 Part 1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161925</wp:posOffset>
            </wp:positionV>
            <wp:extent cx="5203190" cy="3060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0319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EIK1004 Preclinical Activities</w:t>
      </w:r>
    </w:p>
    <w:p>
      <w:pPr>
        <w:spacing w:after="0" w:line="11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 set of in vitro and in vivo pharmacology studies were conducted to characterize the potency, selectivity, and efficacy of EIK1004. Overall, potent and selective in vitro activity was observed for EIK1004. In preclinical studies, our molecule was observed to be approximately 850-fold more selective on PARP1 over PARP2 for biochemical inhibition and greater than fifty thousand-fold on PARP1 over PARP2 for DNA trapping.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Absorption, distribution, metabolism, and excretion studies have evaluated potential human exposure and the potential for drug-drug interactions. A complete preclinical toxicology package has been assembled. The following graph illustrates the strong clinical activity of EIK1004 observed in an orthotopic brain tumor model (MDA-MB-436).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39</w:t>
      </w:r>
      <w:r>
        <w:rPr>
          <w:rFonts w:ascii="Times New Roman" w:cs="Times New Roman" w:eastAsia="Times New Roman" w:hAnsi="Times New Roman"/>
          <w:sz w:val="18"/>
          <w:szCs w:val="18"/>
          <w:color w:val="auto"/>
        </w:rPr>
        <w:t>: Bioluminescence, or BLI, readings of EIK1004 up to 70 days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154305</wp:posOffset>
            </wp:positionV>
            <wp:extent cx="2743200" cy="2588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43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illustration below further confirms EIK1004’s capabilities of brain penetrance.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40</w:t>
      </w:r>
      <w:r>
        <w:rPr>
          <w:rFonts w:ascii="Times New Roman" w:cs="Times New Roman" w:eastAsia="Times New Roman" w:hAnsi="Times New Roman"/>
          <w:sz w:val="18"/>
          <w:szCs w:val="18"/>
          <w:color w:val="auto"/>
        </w:rPr>
        <w:t>: Demonstration of EIK1004 efficacy in tumors injected into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154305</wp:posOffset>
            </wp:positionV>
            <wp:extent cx="4577715" cy="2503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7771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7" w:name="page48"/>
    <w:bookmarkEnd w:id="47"/>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EIK1005</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EIK1005, which we optimized in our laboratories using our technology platform, is designed to be a WRN helicase inhibitor that we believe has the potential to be an effective anti-tumor agent for MSI-high tumors by stimulating synthetic lethality.</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MSI-high tumors, mismatch repair deficiency, or dMMR, prompts alternative DNA repair pathways to be activated, including the WRN pathway. Inhibitors targeting WRN in cancer cells with MSI, have been shown to trigger DNA damage and subsequent cancer cell death by stimulating synthetic lethality (Figure 41).</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MSI-high tumors have also been shown to be highly immunogenic, which has made these tumor types susceptible to immunotherapy treatment, such as anti-PD-(L)1 therapy. We believe the potential ability of WRN inhibitors to stimulate synthetic lethality to drive cancer cell death of MSI-high tumors, along with the inherent immunogenic properties of these tumors, suggest a WRN inhibitor could provide therapeutic benefit as a monotherapy, or in combination with immunotherapy, to improve treatment outcomes in patients with MSI-high or dMMR tumor types.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EIK1005 underwent extensive mechanistic studies leveraging our SMT system. This work led to an elucidation of the mechanism of inhibitor-induced protein degradation of WRN. In summary, WRN inhibition traps the helicase on chromatin, which leads to RNF4-mediated sumoylation, or post-translational modification where a small ubiquitin-like modifier, or SUMO, protein is covalently attached to a target protein, followed by ubiquitination, or post-translational modification where the protein ubiquitin is attached, which tags the WRN protein for degradation by the proteosome (Figure 42).</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41</w:t>
      </w:r>
      <w:r>
        <w:rPr>
          <w:rFonts w:ascii="Times New Roman" w:cs="Times New Roman" w:eastAsia="Times New Roman" w:hAnsi="Times New Roman"/>
          <w:sz w:val="18"/>
          <w:szCs w:val="18"/>
          <w:color w:val="auto"/>
        </w:rPr>
        <w:t>: WRN inhibition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154305</wp:posOffset>
            </wp:positionV>
            <wp:extent cx="5092065" cy="2957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9206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42</w:t>
      </w:r>
      <w:r>
        <w:rPr>
          <w:rFonts w:ascii="Times New Roman" w:cs="Times New Roman" w:eastAsia="Times New Roman" w:hAnsi="Times New Roman"/>
          <w:sz w:val="18"/>
          <w:szCs w:val="18"/>
          <w:color w:val="auto"/>
        </w:rPr>
        <w:t>: Schematic of WRN DNA repair mechanism and inhibition driven WRN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5349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Ongoing Phase 1 Development of EIK1005</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completed a single-ascending dose-escalation Phase 1 trial in healthy volunteers which evaluated the safety, tolerability, and PK of EIK1005 in Australia.</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the first period of the study, we administered EIK1005 or placebo as a single dose to fasting healthy volunteers. In the second period, we administered EIK1005 (50mg) or placebo as a single dose under the fed state to evaluate potential food effect.</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9" w:name="page50"/>
    <w:bookmarkEnd w:id="4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43</w:t>
      </w:r>
      <w:r>
        <w:rPr>
          <w:rFonts w:ascii="Times New Roman" w:cs="Times New Roman" w:eastAsia="Times New Roman" w:hAnsi="Times New Roman"/>
          <w:sz w:val="18"/>
          <w:szCs w:val="18"/>
          <w:color w:val="auto"/>
        </w:rPr>
        <w:t>: Trial design of EIK1005 Phase 1 trial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4989195" cy="3420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89195" cy="342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total of 23 healthy volunteers participated in the trial, of which 17 received EIK1005 (11 participants at 50mg and six participants at 100mg) and six received placebo. After clearing the 50mg and 100mg dose levels, EIK1005 was observed to have a half-life of 9.4 days and we observed mild to moderate adverse events which were deemed unrelated to EIK1005. We also observed that EIK1005 can be taken without regard to food intake. We believe these findings support a starting dose in subsequent trials of EIK1005 at 50mg given once weekly in patients without regard to food.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44</w:t>
      </w:r>
      <w:r>
        <w:rPr>
          <w:rFonts w:ascii="Times New Roman" w:cs="Times New Roman" w:eastAsia="Times New Roman" w:hAnsi="Times New Roman"/>
          <w:sz w:val="18"/>
          <w:szCs w:val="18"/>
          <w:color w:val="auto"/>
        </w:rPr>
        <w:t>: Observed AE summary (all treated participants) for EIK1005 Phase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1774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031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0" w:name="page51"/>
    <w:bookmarkEnd w:id="50"/>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45</w:t>
      </w:r>
      <w:r>
        <w:rPr>
          <w:rFonts w:ascii="Times New Roman" w:cs="Times New Roman" w:eastAsia="Times New Roman" w:hAnsi="Times New Roman"/>
          <w:sz w:val="18"/>
          <w:szCs w:val="18"/>
          <w:color w:val="auto"/>
        </w:rPr>
        <w:t>: Observed AEs for participants in EIK1005 Phase 1 trial (incidence &gt; 0% in one or more treatment groups) (all treated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194935" cy="2468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9493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begun dosing patients in the Phase 1/2 trial of EIK1005. This trial is designed to assess pharmacokinetics and safety in EIK1005 monotherapy dose escalation in patients with advanced solid tumors. Dose escalation of EIK1005 in combination with pembrolizumab and subsequent dose optimization in monotherapy will be assessed in patients with advanced solid tumors that are MSI-high.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Preclinical Development of EIK1005</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 preclinical study, EIK1005 was administered orally at daily doses of 5, 15, or 30 mg/kg, in nude mice implanted with WRN-sensitive xenografts, and doses of 30, 90, or 180 mg/kg in mice with less WRN-sensitive xenografts. For all doses of EIK1005, we observed statistically significant tumor inhibition, with TGI of at least 80% in the two higher dose groups in both WRN-sensitive and the less sensitive models.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46</w:t>
      </w:r>
      <w:r>
        <w:rPr>
          <w:rFonts w:ascii="Times New Roman" w:cs="Times New Roman" w:eastAsia="Times New Roman" w:hAnsi="Times New Roman"/>
          <w:sz w:val="18"/>
          <w:szCs w:val="18"/>
          <w:color w:val="auto"/>
        </w:rPr>
        <w:t>: Observed WRN degradation in the tumors from all EIK1005 dose groups, which triggered DNA damage and subsequent cancer cell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1705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line="1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 complete preclinical toxicology package has been assembled. In toxicology studies, EIK1005 was administered orally at daily doses of 28, 90, or 280 mg/kg in rats and 14, 45, and 140 mg/kg in dogs, in each case for 28 days. In the rat 28-day study, no AEs were observed up to 90 mg/kg/day. In the dog 28-day study, vomiting and diarrhea was observed in a dose-responsive manner across all dose groups, with no AEs observed up to 45 mg/kg. The no adverse event level in dogs was used in determining the starting dose in the first-in-human study.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Androgen Receptor Inhibitors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to EIK1005, we have used our technology platform to identify and initiate preclinical development of our AR program for the treatment of patients with prostate cancer. We believe our approach can address many of the limitations associated with approved AR inhibitors, namely the emergence of clones of resistant tumor cells, many of which have sustained mutations in one or more AR alleles that permit expression of an altered AR variant that no longer binds the AR inhibitor, or the emergence of tumor clones that express a splice variant of AR, such as ARv7, that lacks an androgen-binding domain and is constitutively active, even in the absence of androgen. These tumor cells are less sensitive to either androgen deprivation or conventional AR inhibitors.</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a hormone-regulated malignancy, prostate cancer depends on AR signaling for disease development. Although androgen deprivation therapy, or ADT, is effective in alleviating tumor burden during early stages of disease, virtually all disease presentations rapidly develop into mCRPC. While second generation anti-androgen drugs such as enzalutamide and abiraterone have provided clinical benefits for mCRPC treatment, primary or secondary resistance to these drugs is common in patients and eventually leads to lethal disease progression. Therapy-resistant cancer cells remain highly dependent on sustained AR signaling resulting from mechanisms such as AR amplification, mutations, the expression of AR splice variants, or activation by alternative co-activators.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 Program</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AR program is focused on optimizing a molecule that can bind to the AR and inhibit signaling that is otherwise stimulated by androgens. Use of our technology platform has permitted us to apply ML and computational chemistry to develop novel molecules that target both the wild-type AR, referred to as the normal form, as well as several predominant, clinically-observed AR variants.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EIK1006</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EIK1006 is our second internally derived clinical candidate and is being investigated as a potential next- generation AR antagonist with activity against multiple clinically emergent variants of AR. We believe EIK1006 has the potential to bind to the LBD of AR and block its nuclear translocation, thereby inhibiting AR transcriptional activity and downstream signaling. EIK1006 is structurally differentiated from currently available AR antagonists. We expect to submit an IND for EIK1006 in the first quarter of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ARv7</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ARv7 program, in contrast, focuses exclusively on an intrinsically disordered splice variant of AR known as ARv7. This splice variant lacks the ability to bind to testosterone and is constitutively active, thereby consistently delivering a signal that promotes tumor cell growth, even in the absence of androgen stimulation. Using our technology platform, we have identified multiple chemical series that change the motion of ARv7, and have defined representatives of these series that block cancer cell growth, including tumor growth in animal models</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both EIK1006 and ARv7, we intend to continue to investigate and develop these preclinical programs for clinical suitability and readiness as appropriate.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Traditional pharmaceutical research and development has been undermined by an exponential decline in productivity for more than six decades. This inefficiency results from several factors, the most important of which is the inability to develop robust models that can help to identify effective drug targets. Traditional biochemical studies, which form the bedrock of pharmaceutical discovery efforts, examine the effects of therapeutic candidates in highly contrived, often in vitro, settings that do not adequately resemble the environment where they must perform in human patients. Most biological processes involve interactions among multiple proteins and protein complexes within cells. These interactions form the control elements that regulate intracellular biochemical reactions. It is no surprise, then, that in general drugs act by modulating the interactions among many different proteins in the cell types where they exert their effects. To improve productivity in the discovery of new therapeutics, we regard the interrogation and analysis of protein interactions, as they occur within living cells, as essential. Using advanced imaging techniques, by screening for compounds that affect the motion of a target protein, especially as this motion relates to the interactions of the target protein with other proteins in the cell, we can obtain compounds that modulate the function of these proteins. Moreover, our instruments can be used to characterize the interactions among proteins inside living cells from human cell lines, providing the basis for identifying novel targets that can be exploited to generate important new medicines.</w:t>
      </w:r>
    </w:p>
    <w:p>
      <w:pPr>
        <w:spacing w:after="0" w:line="19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Our technology platform produces an extraordinary amount of high quality, consistent, and high dimensional data that illuminates the biochemical machinery of living cells. We analyze these data using ML approaches to identify ways of modifying the assembly and disassembly of regulatory circuits. Because we can evaluate the behavior of proteins in living cells, we can pursue drug targets that are challenging to interrogate. Our aim is to explore novel targets as parts of multi-molecular complexes that have yet to be therapeutically exploited.</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reliability of AI and ML depends in part on the quality and relevance of the data available for training and analysis. While there are other companies applying AI and ML to biological data in drug development, we believe the quality, quantity, and biological relevance of our data derived from single molecule tracking provides us with an advantage: we assemble high-precision data sets that can generate meaningful and differentiated insights.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Platform</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integrating advanced engineering, AI and ML with traditional biology research, designed to accelerate research and development productivity, and to build novel tools that permit us to study biology in living systems. Our technology platform is centered around our proprietary SMT system, integrating tools such as custom-engineered super-resolution microscopy, bespoke automation, advanced data science, and software packages capable of processing petabyte-scale datasets.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47</w:t>
      </w:r>
      <w:r>
        <w:rPr>
          <w:rFonts w:ascii="Times New Roman" w:cs="Times New Roman" w:eastAsia="Times New Roman" w:hAnsi="Times New Roman"/>
          <w:sz w:val="18"/>
          <w:szCs w:val="18"/>
          <w:color w:val="auto"/>
        </w:rPr>
        <w:t>: We approach drug development using our platform’s cycle of advanced science and novel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154305</wp:posOffset>
            </wp:positionV>
            <wp:extent cx="4766310" cy="40201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631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Single Molecule Tracking</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built a proprietary drug discovery system called single molecule tracking centered on live-cell imaging. Our proprietary SMT system enables real-time visualization and quantitative analysis of protein dynamics at the single molecule level with 30 nanometer spatial resolution and low-millisecond time resolution. This high-resolution, kinetic, and spatially resolved approach significantly enhances our ability to interrogate biology broadly, and across disease therapeutic areas, by achieving what we believe to be a differentiated understanding of protein function, localization, and interaction states under physiologic conditions.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images below show protein activity captured using our proprietary SMT system. With the use of high throughput screening, we can generate clean images suitable for interpretation. The rate of protein motion is quantified and displayed based on its diffusion coefficient, which conveys information about protein activity and mechanism. Each of our microscopes is capable of capturing over 100,000 protein motion events in 1.5 seconds and our fleet can generate up to one petabyte of high quality, consistent and high dimensional data each day.</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4" w:name="page55"/>
    <w:bookmarkEnd w:id="5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48</w:t>
      </w:r>
      <w:r>
        <w:rPr>
          <w:rFonts w:ascii="Times New Roman" w:cs="Times New Roman" w:eastAsia="Times New Roman" w:hAnsi="Times New Roman"/>
          <w:sz w:val="18"/>
          <w:szCs w:val="18"/>
          <w:color w:val="auto"/>
        </w:rPr>
        <w:t>: Single molecule tracking captures the real-time dynamics of individual proteins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30175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Bespoke Automation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measure protein motion with precision at single molecule resolution across millions of cells per day, we had to build additional bespoke tools, including hardware, software, consumables, and reagents, because such tools were not otherwise available. These tools include our proprietary oblique line scanning illumination and detection modality, automated high throughput screening systems, and proprietary algorithms and software, which we use to interpret the protein motion events detected by our proprietary SMT system. Having automated systems run by robotics allows them to operate around the clock and greatly reduces the introduction of human errors.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Science, ML, and AI</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technical foundation of our platform is supported by proprietary AI, ML, and bioinformatics tools that extract biologically meaningful features from complex trajectory data, such as diffusion coefficients, dwell times, and interaction clustering. Our computational tools can calculate protein concentration in sub-cellular compartments, contextualize data generated from our proprietary SMT system, and identify biological activity, thereby yielding significant biological insights. Additionally, cell morphology data is analyzed to further contextualize the cellular state in which protein motion measurements are being made.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because our datasets are precise and reproducible, we can use the data to make better predictions about structure-activity relationships.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as we use our platform, we improve the predictive ability of our algorithms.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Engineering</w:t>
      </w:r>
    </w:p>
    <w:p>
      <w:pPr>
        <w:spacing w:after="0" w:line="11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Operating our platform and interpreting the insights generated by our proprietary SMT system and other computational tools requires purposeful software development. We have robust software engineering capabilities driven by expert teams. Our engineers collaborate closely with our drug development scientists, chemists, biologists, and the end users of our platform, providing dynamic feedback that enables our engineers to maximize our platform’s utility and output.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Leveraging our Platform for 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enables more informed drug research and development in the following ways:</w:t>
      </w:r>
    </w:p>
    <w:p>
      <w:pPr>
        <w:spacing w:after="0" w:line="113" w:lineRule="exact"/>
        <w:rPr>
          <w:sz w:val="20"/>
          <w:szCs w:val="20"/>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validate novel targets</w:t>
      </w:r>
      <w:r>
        <w:rPr>
          <w:rFonts w:ascii="Times New Roman" w:cs="Times New Roman" w:eastAsia="Times New Roman" w:hAnsi="Times New Roman"/>
          <w:sz w:val="18"/>
          <w:szCs w:val="18"/>
          <w:color w:val="auto"/>
        </w:rPr>
        <w:t>: Even if a specific protein is deemed difficult to target, understanding its frequent interactions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proteins creates the possibility of targeting those associated proteins to achieve the desired therapeutic effect. Our ability to map certain protein interactions enables us to identify novel targets for drug discovery, and to validate their roles in disease pathology.</w:t>
      </w:r>
    </w:p>
    <w:p>
      <w:pPr>
        <w:spacing w:after="0" w:line="62" w:lineRule="exact"/>
        <w:rPr>
          <w:rFonts w:ascii="Times New Roman" w:cs="Times New Roman" w:eastAsia="Times New Roman" w:hAnsi="Times New Roman"/>
          <w:sz w:val="18"/>
          <w:szCs w:val="18"/>
          <w:color w:val="auto"/>
        </w:rPr>
      </w:pPr>
    </w:p>
    <w:p>
      <w:pPr>
        <w:jc w:val="both"/>
        <w:ind w:left="1020" w:right="16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Elucidate mechanisms of action</w:t>
      </w:r>
      <w:r>
        <w:rPr>
          <w:rFonts w:ascii="Times New Roman" w:cs="Times New Roman" w:eastAsia="Times New Roman" w:hAnsi="Times New Roman"/>
          <w:sz w:val="18"/>
          <w:szCs w:val="18"/>
          <w:color w:val="auto"/>
        </w:rPr>
        <w:t>: We systematically assess mechanisms of action through real-time, single molecule analysis of on-target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off-target interactions. We believe gaining this more complete picture of molecular function aids in the most appropriate clinical use of the identified molecules and in the identification of clinically relevant biomarkers.</w:t>
      </w:r>
    </w:p>
    <w:p>
      <w:pPr>
        <w:spacing w:after="0" w:line="62" w:lineRule="exact"/>
        <w:rPr>
          <w:rFonts w:ascii="Times New Roman" w:cs="Times New Roman" w:eastAsia="Times New Roman" w:hAnsi="Times New Roman"/>
          <w:sz w:val="18"/>
          <w:szCs w:val="18"/>
          <w:color w:val="auto"/>
        </w:rPr>
      </w:pPr>
    </w:p>
    <w:p>
      <w:pPr>
        <w:ind w:left="1020" w:right="80" w:hanging="503"/>
        <w:spacing w:after="0" w:line="25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 the identification and nomination of drug candidates</w:t>
      </w:r>
      <w:r>
        <w:rPr>
          <w:rFonts w:ascii="Times New Roman" w:cs="Times New Roman" w:eastAsia="Times New Roman" w:hAnsi="Times New Roman"/>
          <w:sz w:val="18"/>
          <w:szCs w:val="18"/>
          <w:color w:val="auto"/>
        </w:rPr>
        <w:t>: Both through high throughput screening and structure-activity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cycles, we leverage single molecule tracking to enable a more informed approach to identifying and optimizing chemical matter for drug-like properties. In this way, we generate chemical matter that we believe has an improved probability of technical and regulatory success. Our beliefs about this more informed approach and improved probability of success are based on our use of human-derived cells to obtain direct measurements of changes in protein behavior. The extensive data we generate can reveal overlooked or previously unseen interactions that can be leveraged for new therapeutics. By using internal data-driven predictive chemistry, supported by both computational and wet lab tools that can facilitate lead optimization, we believe we are positioned to profile new molecular entities in a way that can accelerate the overall drug development process. For example, we have advanced EIK1005, our WRN product candidate, from initial discovery research to nominating a development candidate in under 18 months. However, it is important to note that despite our efforts to accelerate the nomination of product candidates, we may not consistently be able to do so. Further, these investigational compounds will not become products until they demonstrate activity in adequate and well-controlled clinical trials with timelines similar to other product candidates and undergo a regulatory review process to thereafter gain registration in jurisdictions where we intend to seek marketing authorization.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our strategy to leverage our technology platform in our drug development efforts represents a novel approach with significant potential, though it remains unproven. To date, EIK1005 and EIK1006 are the only product candidates that have leveraged our technology platform. In particular, for EIK1005, which is now in clinical development, we used our technology platform to characterize EIK1005’s mechanism of action and optimize its chemical structure with precision. As we are still in early stages of leveraging our technology platform, there is no guarantee that it will be successful in identifying or validating any safe, effective, or commercially viable product candidate.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 and Validate Novel Targets</w:t>
      </w:r>
    </w:p>
    <w:p>
      <w:pPr>
        <w:spacing w:after="0" w:line="11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believe single molecule tracking can be used to identify and validate novel targets. We believe our approach allows us to interrogate specific, known, disease-causing targets and find novel therapeutics by perturbing protein interactions using genetic tools (such as CRISPR and siRNAs) and capturing the alterations in protein dynamics using single molecule tracking. We believe interrogating this dataset (combined with existing omics-based biological datasets) can allow us to identify potential biomarkers and new targets of interest.</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an example, we have leveraged single molecule tracking to explore the protein interaction network of c-MYC, a well-known oncogene and key transcriptional regulator of cell growth, proliferation, and apoptosis.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its array of cellular functions and complex network of cellular crosstalk (pictured at the top of the below graphic), c-MYC provides a compelling example of the ability of our approach to map complex protein interactions. By disrupting target genes one at a time, across the entire genome, we are able to detect fluctuations in the motion of c-MYC and record those as interactions. At the bottom left of the below graphic we see the impact of disruption of various genes on the motion of c-MYC via a state-array. A closer look at the findings reveals known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players, and if we employ a stochastic neighbor embedding approach (t-SNE dimensionality reduction, as shown in the bottom right of the below graphic), commonly used to visualize complex high-dimensional data, we are able to cluster findings such as hits that are part of the known interacting TIP60 complex. This approach enables us to not only map what is known, but to detect novel interactors or interacting complexes, and in that new information lies the foundation of new potential drug targets.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49</w:t>
      </w:r>
      <w:r>
        <w:rPr>
          <w:rFonts w:ascii="Times New Roman" w:cs="Times New Roman" w:eastAsia="Times New Roman" w:hAnsi="Times New Roman"/>
          <w:sz w:val="18"/>
          <w:szCs w:val="18"/>
          <w:color w:val="auto"/>
        </w:rPr>
        <w:t>: The high dimensionality of our proprietary SMT system enables insights into complex protein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031740" cy="2717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3174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completed more than a dozen whole genome single molecule tracking screens to map protein interactions. We continue to explore the biology of the indications we are targeting in our current pipeline with the aim of identifying novel adjacent targets and gaining mechanistic insights. We are also building large foundational models from single molecule tracking data, and mapping pathways to identify new targets.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Outside oncology, we are engaged in program efforts in neurologic disease. We have developed biophysical methods based on single molecule tracking to detect and quantify alpha-synuclein aggregates in Parkinson’s disease samples.</w:t>
      </w:r>
    </w:p>
    <w:p>
      <w:pPr>
        <w:spacing w:after="0" w:line="162"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Our platform’s scalability and modular architecture also support rapid incorporation of complementary technologies, including CRISPR-based perturbation tools, multiplexed imaging, and AI-guided compound design, which can potentially enhance both the breadth and depth of discovery.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Elucidate Mechanisms of Action</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used our technology platform to explicate previously puzzling aspects of complex biology and the dynamic nature of proteins. By interrogating a dataset that incorporates a deeper understanding of cellular activity, we can generate mechanism of action insights that inform our research and development efforts.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showcased this ability of our platform through our work on the WRN helicase protein, which has resulted in an elucidation of the mechanism of action of EIK1005, our clinical product candidate currently being evaluated in a Phase 1/2 trial. We developed a novel approach to study WRN inhibition by explicating the mechanisms that regulate WRN spatiotemporal dynamics, or their patterns of movement. We used our proprietary SMT system in combination with WRN compounds previously described in scientific literature to examine WRN dynamics within the nuclei of living cancer cells. As shown in Figure 50 below, we observed that WRN inhibition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traps the helicase on chromatin, which led to RNF4 mediated sumoylation, or post-translational modification where a SUMO protein is covalently attached to a target protein, followed by ubiquitination, or post-translational modification where the protein ubiquitin is attached, which tags the WRN protein for degradation by the proteosome. These insights have been helpful in developing EIK1005 as a highly potent WRN helicase inhibitor, because, as shown in Figure 51 below, we have been able to rapidly assess selective molecules that potentially exhibit the phenotype of WRN degradation via this pathway.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50</w:t>
      </w:r>
      <w:r>
        <w:rPr>
          <w:rFonts w:ascii="Times New Roman" w:cs="Times New Roman" w:eastAsia="Times New Roman" w:hAnsi="Times New Roman"/>
          <w:sz w:val="18"/>
          <w:szCs w:val="18"/>
          <w:color w:val="auto"/>
        </w:rPr>
        <w:t>: Insights generated from our proprietary SMT system allowed us to elucidate a mechanism of action of WRN inhibition with precision.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154305</wp:posOffset>
            </wp:positionV>
            <wp:extent cx="4834890" cy="1817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3489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Figure 51</w:t>
      </w:r>
      <w:r>
        <w:rPr>
          <w:rFonts w:ascii="Times New Roman" w:cs="Times New Roman" w:eastAsia="Times New Roman" w:hAnsi="Times New Roman"/>
          <w:sz w:val="18"/>
          <w:szCs w:val="18"/>
          <w:color w:val="auto"/>
        </w:rPr>
        <w:t>: Cellular and biophysical SMT methodologies establish selective and potent activity of the EIK1005 WRN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74920" cy="1714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7492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Accelerate the Identification and Nomination of Drug Candidates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use of our technology platform can discover high quality chemical matter with improved speed relative to traditional drug development. We further believe that our integrated approach may allow us to accelerate the development of therapeutics by grounding discovery efforts in direct, quantitative measurement of cellular and molecular behavior in living systems.</w:t>
      </w:r>
    </w:p>
    <w:p>
      <w:pPr>
        <w:spacing w:after="0" w:line="176"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have advanced EIK1005, our WRN product candidate, from initial discovery research to nominating a development candidate in under 18 months. This was achieved by strategically applying the mechanism of action insights gained from our platform to generate a compound that could be rapidly evaluated in preclinical studies. Traditional methods of drug discovery can often take three to five years from initial discovery research to nomination of a development candidate.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9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also used our platform to extensively study the motion and behavior of steroid hormone receptors, with a focus on AR and ARv7, which has culminated in the recent declaration of our AR product candidate, EIK1006.</w:t>
      </w:r>
    </w:p>
    <w:p>
      <w:pPr>
        <w:spacing w:after="0" w:line="162"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We initially described the ability to profile different molecular states using our proprietary SMT system across different receptor classes. It was evident from this work that we could inventory fundamental cell biochemistry using our proprietary SMT system. In that work we used our proprietary SMT system to analyze the behavior of steroid hormone receptors, a class of sensors that mediate gene expression. For our EIK1006 program, we were able to identify a novel scaffold that suppresses AR signaling and selectively inhibits growth of AR-dependent cell lines. In preclinical studies, we have observed that EIK1006 is able to maintain activity where other commercially available agents, such as enzalutamide, are inactive.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and Development Agreements with Seven and Eight and SW</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29, 2023, we entered into an Exclusive Collaboration Agreement, or the Seven and Eight Collaboration Agreement, with Seven and Eight Biotherapeutics Corp. and related entities, collectively known as Seven and Eight, and an Exclusive License and Development Agreement, or the SW License Agreement, with Seven and Eight and Superb Wisdom Limited, or SW. Under each agreement, Seven and Eight and SW granted us a worldwide, exclusive license under certain of their patents, know-how, and other intellectual property rights to develop and commercialize certain TLR 7 and 8 agonist product candidates, including our product candidate, EIK1001. Our license from SW is exclusive in the field of oncology, and our license from Seven and Eight is exclusive in all fields. We have the sole right and responsibility to conduct clinical development, perform regulatory activities, and commercialize the compounds and products licensed under the agreements, and we must use commercially reasonable efforts with respect to our development activities. Under the Seven and Eight Collaboration Agreement, following a transition period during which Seven and Eight transferred certain contracts, regulatory documentation, biological materials, research tools, rights, and other information related to the product candidates to us, Seven and Eight agreed to wind down its research efforts with respect to toll-like receptor activity, including its development of the compounds licensed under the agreement.</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paid Seven and Eight and SW aggregate upfront payments of $11.0 million in cash ($10.5 million to Seven and Eight and $0.5 million to SW), and issued two Simple Agreements for Future Equity, or SAFEs, equal to $35.0 million ($31.5 million to Seven and Eight and $3.5 million to SW) upon entering into the applicable agreement. The SAFEs automatically converted into our Series C redeemable convertible preferred stock upon the initial closing of our Series C financing round in May 2023. We have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We have also agreed to pay SW additional milestone payments in the amount of up to $29.4 million and $350.0 million upon the achievement of certain regulatory and commercial milestones, respectively. As of the date of this Annual Report, the total amount we have paid Seven and Eight and SW under both agreements is $46.0 million. We are currently engaged in a payment-related dispute with Seven and Eight. Seven and Eight has alleged that it did not receive a payment we made to Seven and Eight as required by the Seven and Eight Collaboration Agreement and thus such payment is still owed. Although we believe our payment was made in good faith, if we are unable to reach a mutually agreeable resolution to this matter with Seven and Eight, arbitration may be necessary.</w:t>
      </w:r>
    </w:p>
    <w:p>
      <w:pPr>
        <w:spacing w:after="0" w:line="19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Seven and Eight Collaboration Agreement, we own and retain all rights in intellectual property and other information discovered, developed, or otherwise made in connection with the Seven and Eight Collaboration Agreement, whether made by us or Seven and Eight, either solely or jointly. Under the SW License Agreement, we own any improvements, enhancements, updates, or equivalents of our intellectual property developed, created, or otherwise made in relation to the compounds and products licensed under both agreements. We also have the right to prepare, file, prosecute, enforce, and maintain patents related to the compounds and products licensed under each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Seven and Eight Collaboration Agreement expires upon the latest of (i) the expiration, invalidation, or abandonment of the last patent licensed thereunder, (ii) the expiration of any data or market exclusivity program related to the product candidates, and (iii) ten years after the first commercial sale of a product candidate. If we notify Seven and Eight that we are permanently discontinuing our efforts to develop and commercialize the licensed products under the agreement and do not intend to pay Seven and Eight any milestone payments contemplated thereunder, Seven and Eight may terminate the Seven and Eight Collaboration Agreement. Either party may terminate the Seven and Eight Collaboration Agreement if there has been a material breach of contract, but such termination can only be invoked if the breach cannot be reasonably remedied by the payment of money damages. We may also terminate the Seven and Eight Collaboration Agreement upon prior written notice for any reason.</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SW License Agreement expires upon the earliest of (i) the expiration, invalidation, or abandonment of the last patent licensed thereunder in the applicable country (and if no patent application was filed or no patent was issued in such country, ten years from the first commercial sale of the first product licensed thereunder in such country), or (ii) payment of the last commercial milestone payment. The SW License Agreement automatically terminates upon any termination of the Seven and Eight Collaboration Agreement. The SW License Agreement may also be terminated, without terminating the Seven and Eight Collaboration Agreement, by either party if there has been a material breach (including if we fail to make any milestone payment due thereunder). We may also terminate the SW License Agreement, without terminating the Seven and Eight Collaboration Agreement, upon prior written notice for any reason.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Impact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10, 2023, we entered into a Collaboration Agreement, which was amended and restated on November 22, 2023, and further amended on December 12, 2024, or, collectively, the Impact Agreement, with Impact. Pursuant to the Impact Agreement,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 such excluded territories collectively known as the Impact territory. We also received a co-exclusive, royalty-free license under certain of Impact’s patents and know-how to develop and manufacture such product candidates within the Impact territory solely for the purposes of supporting the development or commercialization thereof outside of the Impact territory. Additionally, we granted to Impact a co-exclusive, royalty-free license under certain of our patents, know-how, and regulatory information for the sole purposes of Impact fulfilling its obligations related to the Impact Agreement and to develop, manufacture, and make regulatory filings related to the product candidates. In addition, we granted an exclusive, royalty-free license under certain of our patents and know-how to Impact solely for purposes of commercialization of the product candidates in the Impact territory. The Impact Agreement further prohibits either party or their sublicensees or affiliates, as applicable, from developing, manufacturing, or commercializing any selective PARP1 inhibitors during the term of the Impact Agreement except as provided under the foregoing licenses.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Impact Agreement established a joint steering committee, or JSC, to manage the collaboration. Under the Impact Agreement, Impact retains responsibility for all preclinical development activities for the product candidates. Impact is responsible for clinical development, including preparing and maintaining regulatory approvals, and commercialization of the product candidates, in the Impact territory, and we are responsible for these activities in all other jurisdictions worldwide. We also have the right to propose global clinical studies and global development plans that include clinical sites in the Impact territory for the JSC’s approval. We would be responsible for the conduct of any global clinical study in all territories except the Impact territory, in which Impact would be responsible for such conduct. Under a global development plan, we and Impact could each also propose the development of a combination product in our respective territories. Further, under the Impact Agreement, we must use commercially reasonable efforts to achieve regulatory approval of a product candidate for one indication in the United States, subject to Impact’s performance of its preclinical development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JSC consists of three Eikon representatives and three Impact representatives; the chair of the JSC is an Eikon representative. In the event that the JSC cannot reach unanimous agreement on any issue, then our Chief Medical Officer must discuss the issue with Impact’s Chief Executive Officer. If they are unable to reach agreement, then we have final decision-making authority over any matter related to the development and commercialization of the product candidates, including Impact’s preclinical development plan, and any Impact, global, or combination development plan. Impact has final decision-making authority over the day-to-day implementation of any development plan, manufacturing, and commercialization of the product candidates in the Impact territory.</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paid an upfront fee of $31.5 million in cash to Impact. We are also required to make payments to Impact of up to $181.0 million and $775.0 million upon the achievement of certain development and regulatory milestones and commercial milestones, respectively. In addition, tiered royalties of high single-digit to low-teen percentages of net sales per calendar year, subject to certain reductions, are also payable by us to Impact post-commercialization. As of the date of this Annual Report, the total amount we have paid Impact is $45.0 million.</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and Impact each own and retain all interests in any information or invention individually developed under the Impact Agreement, and we each own an equal and undivided interest in any jointly developed intellectual property. Subject to the licenses granted under the Impact Agreement and the respective exclusivity obligations therein, we and Impact each have the right to exploit such joint intellectual property rights and grant licenses to affiliates or other persons under such joint intellectual property rights. Impact has the right to prosecute and maintain its own and joint patents in the Impact Territory; we have the right to prosecute and maintain our own patents worldwide, and to prosecute and maintain Impact’s and any joint patents in any jurisdictions except for the Impact Territory. We and Impact each have the sole right to enforce patents in our own respective territories and have agreed to cooperate fully where the enforcing party requires documentation or other assistance from the other party.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Impact Agreement expires upon the expiration of the last royalty term for the last product candidate for which we are actively pursuing research, development and commercialization. The royalty term for a product candidate in a country expires upon the latest to occur of: (i) the expiration of the last-to-expire patent held by Impact or joint patent in such country that contains a valid claim that covers such product candidate or corresponding licensed compound, (ii) the tenth anniversary of the first commercial sale of such product candidate in such country, and (iii) the expiration of regulatory exclusivity for such product candidate in such country. Upon such expiration of the royalty term for a product candidate in a country, the exclusive licenses we received under the Impact Agreement will become non-exclusive, perpetual, fully-paid, royalty-free, irrevocable licenses for such product candidate in such country. Either party may terminate the Impact Agreement if there has been material breach, but such termination can only be invoked if the breach cannot be reasonably remedied by the payment of money damages. In addition, either party may terminate the agreement if the other party becomes insolvent. We have the sole right to terminate the Impact Agreement immediately upon written notice to Impact if we receive a clinical hold or a withdrawal notice from a regulatory authority regarding safety concerns related to the development or commercialization of a product candidate, in each case that has no reasonable likelihood of resolution. We also have the sole right to terminate for any or no reason upon prior written notice to Impact.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Collaboration and Supply Agreements with MSD</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Clinical Trial Collaboration and Supply Agreements, or the MSD Agreements, with MSD International Business GmbH, or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NSCLC (dated December 5, 2025). Pursuant to the MSD Agreements, we and MSD agreed to collaborate on these clinical trials evaluating the safety and efficacy of our compounds in combination with MSD’s compound, pembrolizumab. Under the MSD Agreements, we act as the sponsor of the clinical trials at our own costs and MSD has agreed to supply to us, at its own cost, pembrolizumab for use in such trials. Pursuant to the MSD Agreements, we and MSD must each use commercially reasonable efforts to supply our applicable compounds for use in the portions of the clinical trials in which patients are intended to receive pembrolizumab either alone or in combination with one or more treatments, in accordance with the applicable study protocol.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and MSD will jointly own all clinical data and results generated from the portion of the clinical trials involving the combination of our compound and pembrolizumab. We own all clinical data and results generated from all portions of these clinical trials that involve our compound alone or in combination with other treatments that are not pembrolizumab, and MSD owns all clinical data and results generated from the portions of the clinical trial involving pembrolizumab alone or in combination with other treatments that are not our compound, or the MSD clinical data. We may use MSD clinical data solely to evaluate the safety or performance of the combination or to register our compound in the combination.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MSD Agreements will each expire upon the delivery of a results memorandum and final report of the portions of the respective trial where patients receive pembrolizumab to MSD, unless earlier terminated, or, in the case of the Phase 2/3 trials, if the Phase 3 portion of the clinical trial is not initiated. MSD may terminate the supply agreement for a particular clinical trial if we do not initiate the trial for the combination within one year from the effective date of the respective MSD Agreement. Further, MSD may terminate an agreement and the supply of pembrolizumab immediately if (i) MSD notifies us that it believes that pembrolizumab is being used unsafely in the trial and (ii) either MSD believes such matter is not reasonably capable of being remedied, or if we fail to remedy promptly such issue to MSD’s reasonable satisfaction. Either we or MSD may terminate an MSD Agreement for a breach of the agreement, for patient safety, or due to regulatory authority objections or actions. Further, either party may also terminate an MSD Agreement if such party determines, in its sole discretion, to withdraw any applicable regulatory approval for its respective compound, or to discontinue development of its respective compound for medical, scientific, or legal reasons.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and novel products and product candidates. Our product candidates, if approved, are designed to address a range of diseases across therapeutic areas. Ultimately, the diseases our product candidates target, and for which we may receive marketing authorization, will determine our competition.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the companies with competing programs will have access to greater financial, technical, manufacturing, supply, marketing and sales resources, and may be more advanced in those programs. Moreover, we may also compete with universities and other research institutions that may be or will become active in research on our target indications. Smaller or early-stage companies may also prove to be significant competitors, particularly through collaborative arrangements with large and established companies. Key competitive factors affecting the success of our product candidates, if approved, are likely to be efficacy, safety, convenience, presentation, price, level of generic competition, and the availability of reimbursement from government and third-party payors.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9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developing EIK1001, a TLR 7/8 dual-agonist. We are aware of a number of competing product candidates targeting TLR 7/8 in the clinical development stage, including Inimmune Corporation’s INI-4001-101 (Phase 1), and product candidates in clinical development that either target only TLR7 or TLR8 exclusively, or those that do not act systemically.</w:t>
      </w:r>
    </w:p>
    <w:p>
      <w:pPr>
        <w:spacing w:after="0" w:line="176"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We are also developing EIK1003 and EIK1004, two selective PARP1 inhibitors. EIK1003 does not penetrate the CNS, while EIK1004 is CNS-penetrant. There are a number of companies seeking to develop non-CNS penetrant and CNS-penetrant selective PARP1 inhibitors. Selective non-CNS penetrant PARP1 inhibitor product candidates in clinical development include AstraZeneca’s AZD5305, Hengrui's HRS-1167, Hansoh Pharma’s HS-10502, and Gilead’s GS 0201. CNS-penetrant selective PARP1 inhibitor product candidates in clinical development include Nerviano’s NMS-293, Synnovation Therapeutics’ SNV-1521, AstraZeneca’s AZD9574, Kainos’ DMS5167, and Duke Street Bio’s DSB2455. Further, there are companies pursuing clinical studies with selective PARP1 inhibitors that are not yet known to be CNS or non-CNS penetrant, such as Acerand Therapeutics' ACE-86225106 and Shenzhen Yangli's VB15010. We are also aware of several PARP1 inhibitor candidates in preclinical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developing EIK1005, a WRN helicase inhibitor. Other active clinical-stage product candidates in this space include Vividion’s VVD-214, IDEAYA's IDE275, Nimbus Therapeutics’ NDI-219216, and MOMA Therapeutics' MOMA-341. We are also aware of several WRN helicase inhibitor preclinical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continuously work to protect our, and develop new, proprietary technology, inventions, trade secrets, and know-how that are important for our business, including by seeking, obtaining, maintaining, enforcing, and defending patent and other intellectual property rights. In addition to seeking patent protection, we rely upon trade secrets and confidential know-how and continuing technological innovation related to our product candidates, drug development efforts, and platform technologies. We seek to protect our proprietary information, in part, using confidentiality agreements with our potential collaborators, advisors, employees, and consultants, and invention assignment agreements with our employees. We also have agreements with our employees requiring their assignment of inventions as well as similar agreements with selected consultants, advisors, and collaborators. Our success will depend in part on our ability to obtain and maintain patent protection for our product candidates and technologies, to preserve our trade secrets, to operate without infringing, misappropriating, or otherwise violating the intellectual property and other proprietary rights of third parties, and to acquire licenses related to enabling technologies or product candidates. We cannot predict whether the patent applications we pursue or license will issue as patents in any particular jurisdiction or whether the claims of any issued patents will provide any protection from competitors. Even if our pending patent applications are granted as issued patents, those patents, as well as any patents we license from third parties now or in the future, may be challenged, circumvented, rendered unenforceable, or invalidated by third parties. Consequently, we may not obtain or maintain adequate patent protection for any of our product candidates and other proprietary technologies. We are also party to collaboration agreements and licenses pursuant to which we develop product candidates based on existing and new intellectual property, and we collaborate with third parties, which involves providing them access to our intellectual property and gaining access to their intellectual property. See the subsection titled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above for more information.</w:t>
      </w:r>
    </w:p>
    <w:p>
      <w:pPr>
        <w:spacing w:after="0" w:line="19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term of individual patents in our portfolio depends upon the legal term of patents in the countries in which they are obtained. In most countries in which we file, including the United States, the basic patent term is 20 years from the earliest date of filing an original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assuming certain conditions are met. While the length of the patent term extension is related to the length of time the drug is under regulatory review, patent term extension cannot extend the remaining term of a patent beyond a total of 14 years from the date of product approval. There are other restrictions that may apply; for example, only one patent per approved drug may be extended under the Hatch-Waxman Act, and only certain types of patent claims are eligible for term extension. Similar extensions are available in certain European and other foreign jurisdictions for extending the term of a patent that covers an approved drug. In the future, if and when our product candidates receive FDA approval, we expect to apply for patent term extensions where they are available on patents covering those products. We plan to seek any available patent term extension of any patents we may be granted in any jurisdiction where such extensions are available. However, there is no guarantee that the relevant authorities, including the FDA in the United States, will agree with our assessment of whether such extensions should be granted, and if granted, the length of such extensions.</w:t>
      </w:r>
    </w:p>
    <w:p>
      <w:pPr>
        <w:spacing w:after="0" w:line="197"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may also rely on trade secrets and know-how relating to our discovery programs, product candidates, and platform technologies,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Such events may also lead to the loss of our trade secrets without any recourse. As a result, we may not be able to meaningfully protect our trade secrets. It is our policy to require our employees, consultants, outside scientific collaborators,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are assigned or licensed to us, and as such, are our exclusive property and/or that, at a minimum, we have freedom to use such inventions in our business. In addition, we take other appropriate precautions, such as physical and technological security measures, to guard against misappropriation of our proprietary technology by third parties. There can be no assurance, however, that these agreements, measures, and policies will provide meaningful protection or adequate remedies, including for our trade secrets in the event of unauthorized use or disclosure of the underlying information. For more information regarding the risks related to our intellectual property, see the section of this Annual Report titled “</w:t>
      </w:r>
      <w:r>
        <w:rPr>
          <w:rFonts w:ascii="Times New Roman" w:cs="Times New Roman" w:eastAsia="Times New Roman" w:hAnsi="Times New Roman"/>
          <w:sz w:val="17"/>
          <w:szCs w:val="17"/>
          <w:i w:val="1"/>
          <w:iCs w:val="1"/>
          <w:color w:val="auto"/>
        </w:rPr>
        <w:t>Risk Factors—Risks Related to Intellectual Property.</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TLR7/8 Agonists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TLR7/8 Agonists patent portfolio consists of U.S. and foreign issued patents and pending patent applications directed to combinations of compositions of matter, crystal forms, methods of treatment, and dosing of certain agonists of TLR7/8, particularly resiquimod, which is the basis of our product candidate, EIK1001.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EIK1001</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patent portfolio for EIK1001 is based on our exclusively in-licensed patent families, and includes issued patents and pending patent applications directed to compositions of matter of EIK1001 and one or more other substances, crystal forms of EIK1001, methods of treatment using EIK1001, and dosing of EIK1001. We are unable to obtain any composition of matter patents claiming only EIK1001 as a sole active ingredient.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issued U.S. patent, one pending U.S. non-provisional patent application, 12 issued foreign patents (including in Australia, Europe, Hong Kong, Japan, Republic of Korea, and Taiwan), and five pending foreign patent applications (including in Argentina, Canada, China, Europe, and Japan), each directed toward the composition of matter of EIK1001. These patents and patent applications, if issued, are expected to expire as early as 2035, absent any terminal disclaimers, patent term adjustments, or patent term extensions, and assuming timely payment is made of all appropriate maintenance, renewal, annuity, or other governmental fees.</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two issued U.S. patents, one pending U.S. non-provisional patent application, eight issued foreign patents (including in Australia, Brazil, Japan, Israel, Mexico, New Zealand, and Singapore), and six pending foreign patent applications (including in Canada, Europe, Hong Kong, Japan, and Singapore), each directed to crystal forms of EIK1001. These patents and patent applications, if issued, are expected to expire as early as 2037, absent any terminal disclaimers, patent term adjustments, or patent term extensions, and assuming timely payment is made of all appropriate maintenance, renewal, annuity, or other governmental fees.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U.S. non-provisional patent application and eight pending foreign patent applications (including in Australia, Canada, China, Europe, Hong Kong, Japan, and Republic of Korea), each directed to methods of treatment using EIK1001. Any patents that may issue from these patent applications are expected to expire as early as 2041, absent any terminal disclaimers, patent term adjustments, or patent term extensions, and assuming timely payment is made of all appropriate maintenance, renewal, annuity, or other governmental fees.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PCT application directed toward EIK1001 dosing regimens. The PCT is an international patent law treaty that provides a unified procedure for filing a single initial patent application to seek patent protection for an invention simultaneously in each of the PCT-member states. Although a PCT application is not itself examined and cannot issue as a patent, it allows the applicant to seek protection in any of the member states by filing national applications within a certain period after filing the PCT application. Any patents that may issue in the U.S or in other foreign jurisdictions based on the PCT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patent application are expected to expire as early as 2045, absent any terminal disclaimers, patent term adjustments, or patent term extensions, and assuming timely payment is made of all appropriate maintenance, renewal, annuity, or other governmental fees.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European patent EP 3166976 B2, which is directed to pharmaceutical combinations that relate to EIK1001, has been opposed at the European Patent Office. The opposition, which was filed in November 2022, has concluded without the need for an oral hearing. The Opposition Division issued its Interlocutory Decision in October 2025 maintaining our patent in amended form. The European Patent Office issued a Communication in January 2026 confirming the maintenance of our patent in amended form to be final.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PARP1 Inhibitors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PARP1 Inhibitors patent portfolio consists of pending patent applications directed toward the composition of matter, methods of manufacturing, crystal forms of certain inhibitors of PARP1, including our product candidate EIK1003, and dosing of EIK1003.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EIK1003</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patent portfolio of EIK1003 is based on our exclusively in-licensed patent families and includes pending patent applications directed to the composition of matter of EIK1003, methods of manufacturing EIK1003, certain crystal forms of EIK1003, and dosing of EIK1003. We do not own or in-license any issued U.S. or foreign patents related to EIK1003, and we cannot provide any assurance that our in-licensed pending patent applications will actually issue</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U.S. non-provisional patent application and 15 pending foreign patent applications (including in Australia, Brazil, Canada, China, Europe, Israel, India, Japan, Republic of Korea, Mexico, New Zealand, Philippines, Russia, Singapore, and South Africa), with each of these applications being directed to compositions of matter of EIK1003. Any patents that may issue in the United States or in other foreign jurisdictions based on these patent applications are expected to expire as early as 2042, absent any terminal disclaimers, patent term adjustments, or patent term extensions, and assuming timely payment is made of all appropriate maintenance, renewal, annuity, or other governmental fees.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foreign patent application in Argentina and one pending PCT application directed to the methods of manufacture of EIK1003. Any patents that may issue in the United States, Argentina, or in other foreign jurisdictions based on these patent applications are expected to expire as early as 2044, absent any terminal disclaimers, patent term adjustments, or patent term extensions, and assuming timely payment is made of all appropriate maintenance, renewal, annuity, or other governmental fees.</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U.S. provisional patent application directed to an optimized method of manufacture of EIK1003. In 2026, we expect to file non-provisional patent applications (e.g., a regular U.S. application, a PCT application, or foreign national applications) claiming the benefit of the filing date of the pending U.S. provisional patent application before expiration of the U.S. provisional patent application. Any patents that may issue in the United States from such applications would expire no earlier than 2046, absent any terminal disclaimers, patent term adjustments, or patent term extensions, and assuming timely payment is made of all appropriate maintenance, renewal, annuity, or other governmental fees. Any patents that may issue in foreign jurisdictions would likewise expire no earlier than 2046, absent any terminal disclaimers, patent term adjustments, or patent term extensions, and assuming timely payment is made of all appropriate maintenance, renewal, annuity, or other governmental fees.</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foreign priority patent application in China, two pending foreign patent applications in Argentina and Taiwan, and one pending PCT application, each directed toward crystal forms of EIK1003. Any patents that may issue in the United States, Argentina, Taiwan, China, or in other foreign jurisdictions based on these patent applications are expected to expire as early as 2045,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absent any terminal disclaimers, patent term adjustments, or patent term extensions, and assuming timely payment is made of all appropriate maintenance, renewal, annuity, or other governmental fees.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foreign priority patent application in China directed to EIK1003 dosing regimens. In 2026, we expect to file non-provisional patent applications (e.g., a regular U.S. application, a PCT application, or foreign national applications) claiming the benefit of the pending Chinese provisional patent application before expiration of the Chinese priority patent application. Any patents that may issue in the United States from such applications would expire no earlier than 2046, absent any terminal disclaimers, patent term adjustments, or patent term extensions, and assuming timely payment is made of all appropriate maintenance, renewal, annuity, or other governmental fees. Any patents that may issue in foreign jurisdictions would likewise expire no earlier than 2046, absent any terminal disclaimers, patent term adjustments, or patent term extensions, and assuming timely payment is made of all appropriate maintenance, renewal, annuity, or other governmental fees.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our agreement with Impact, all rights to commercialize EIK1003 in China, Hong Kong, Taiwan and Macau are exclusively held by Impact.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subsection titled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above for more information on the Impact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PARP1 Inhibitors (CNS Penetrant)</w:t>
      </w:r>
    </w:p>
    <w:p>
      <w:pPr>
        <w:spacing w:after="0" w:line="119"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Our CNS-penetrant PARP1 Inhibitors patent portfolio consists of pending patent applications directed toward the composition of matter, methods of treatment, methods of manufacturing, and crystal forms of certain inhibitors of PARP1 that are CNS penetrant, including our product candidate EIK1004.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EIK1004</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patent portfolio of EIK1004 is based on our exclusively in-licensed patent families and includes pending patent applications directed to the composition of matter of EIK1004, methods of treatment using EIK1004, methods of manufacturing EIK1004, and certain crystal forms of EIK1004. We do not own or in-license any issued U.S. or foreign patents related to EIK1004, and we cannot provide any assurance that our in-licensed pending patent applications will actually issue</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U.S. non-provisional patent application and 16 pending foreign patent applications (including in Australia, Brazil, Canada, China, Europe, Israel, India, Japan, Republic of Korea, Mexico, New Zealand, Philippines, Russia, Singapore, Taiwan, and South Africa), with each application being directed to the composition of matter of EIK1004. Any patents that may issue in the United States, Taiwan or in other foreign jurisdictions based on these patent applications would expire as early as 2043, absent any terminal disclaimers, patent term adjustments, or patent term extensions, and assuming timely payment is made of all appropriate maintenance, renewal, annuity, or other governmental fees.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U.S. non-provisional patent application and ten pending foreign patent applications (including in Argentina, Australia, Canada, China, Europe, Israel, Japan, Republic of Korea, Mexico and Taiwan), with each application being directed to methods of treatment using EIK1004. Any patents that may issue in the United States, or in other foreign jurisdictions based on these patent applications would expire as early as 2044, absent any terminal disclaimers, patent term adjustments, or patent term extensions, and assuming timely payment is made of all appropriate maintenance, renewal, annuity, or other governmental fees.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foreign priority patent application in China, one pending foreign patent application in Argentina, and one pending PCT application, each directed toward methods of manufacturing EIK1004. Any patents that may issue in the United States, Argentina, China, or in other foreign jurisdictions based on these patent applications are expected to expire as early as 2046, absent any terminal disclaimers, patent term adjustments, or patent term extensions, and assuming timely payment is made of all appropriate maintenance, renewal, annuity, or other governmental fees.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exclusively in-license one pending foreign priority patent application in China, one pending foreign patent application in Argentina, and one pending PCT application, each directed toward crystal forms of EIK1004. Any patents that may issue in the United States, Argentina, China, or in other foreign jurisdictions based on these patent applications are expected to expire as early as 2046, absent any terminal disclaimers, patent term adjustments, or patent term extensions, and assuming timely payment is made of all appropriate maintenance, renewal, annuity, or other governmental fees.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our agreement with Impact, all rights to commercialize EIK1004 in China, Hong Kong, Taiwan, and Macau are exclusively held by Impact.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subsection titled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above for more information on the Impact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WRN</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WRN patent portfolio consists of pending provisional and PCT patent applications directed toward compositions of matter comprising certain WRN inhibitors and their mechanism of action, including compositions and mechanisms covering our product candidate EIK1005, as well as dosing of EIK1005.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EIK1005</w:t>
      </w:r>
    </w:p>
    <w:p>
      <w:pPr>
        <w:spacing w:after="0" w:line="117"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patent portfolio for EIK1005 is based on our wholly owned patent families, and includes pending patent applications directed to the composition of matter of EIK1005 and compositions comprising related inhibitors, the underlying mechanism of action of WRN inhibition, as well as dosing of EIK1005. We do not own any issued U.S. or foreign patents related to EIK1005, or any U.S. non-provisional patent applications related to EIK1005, and we cannot provide any assurance that our pending patent applications will actually issue.</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own two pending foreign patent applications in Argentina and Taiwan and one pending PCT application, with each application being directed toward the composition of matter of EIK1005. Any patents that may issue in the United States, Argentina, Taiwan, or in other foreign jurisdictions based on these patent applications would expire as early as 2045, absent any terminal disclaimers, patent term adjustments, or patent term extensions, and assuming timely payment is made of all appropriate maintenance, renewal, annuity, or other governmental fees.</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own one pending U.S. non-provisional patent application and six pending foreign patent applications (including in Australia, Canada, China, Europe, Japan and Republic of Korea), each directed toward a genus of WRN inhibitors related to and encompassing EIK1005. Any patents that may issue in the United States or in other foreign jurisdictions from these patent applications are expected to expire as early as 2044, absent any terminal disclaimers, patent term adjustments, or patent term extensions, and assuming timely payment is made of all appropriate maintenance, renewal, annuity, or other governmental fees.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own one pending PCT patent application directed to the underlying mechanism of action of WRN inhibitors. Any patents that may issue in the United States or in other foreign jurisdictions based on this PCT application would expire no earlier than 2044, absent any terminal disclaimers, patent term adjustments, or patent term extensions, and assuming timely payment is made of all appropriate maintenance, renewal, annuity, or other governmental fees.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own two pending U.S. provisional patent applications directed towards the dosing of EIK1005. In 2026, we expect to file non-provisional patent applications (e.g., a regular U.S. application, a PCT application, or foreign national applications) claiming the benefit of the filing date of the pending U.S. provisional patent applications before expiration of the U.S. provisional patent applications, and any patents that may issue in the United States from such applications would expire no earlier than 2046, absent any terminal disclaimers, patent term adjustments, or patent term extensions, and assuming timely payment is made of all appropriate maintenance, renewal, annuity, or other governmental fees. Any patents that may issue in foreign jurisdictions would likewise expire no earlier than 2046, absent any terminal disclaimers, patent term adjustments,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patent term extensions, and assuming timely payment is made of all appropriate maintenance, renewal, annuity, or other governmental fees.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w:t>
      </w:r>
    </w:p>
    <w:p>
      <w:pPr>
        <w:spacing w:after="0" w:line="2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AR patent portfolio consists of pending U.S. provisional patent applications directed toward compositions of matter comprising certain AR inhibitors, including compositions covering our product candidate EIK1006.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EIK1006</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patent portfolio for EIK1006 is based on our wholly owned patent families, and includes pending patent applications directed to the composition of matter of EIK1006 and compositions comprising related inhibitors. We do not own any issued U.S. or foreign patents related to EIK1006. Additionally, we only own provisional patent applications related to EIK1006, and these provisional patent applications are not eligible to become an issued patent until, among other things, we file a non-provisional patent application within 12 months of the filing date of the provisional patent application. Any failure to file a non-provisional patent application within this timeline could cause us to lose the ability to obtain patent protection for the inventions disclosed in the provisional patent application. Moreover, we cannot provide any assurance that any future pending non-provisional patent applications will issue.</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own four pending U.S. provisional patent applications directed to the composition of matter of EIK1006 and related inhibitors. In 2026, we expect to file non-provisional patent applications (e.g., a regular U.S. application, a PCT application or foreign national applications) claiming the benefit of the filing date of the pending U.S. provisional patent applications before expiration of the U.S. provisional patent applications, and any patents that may issue in the United States from such applications would expire no earlier than 2046, absent any terminal disclaimers, patent term adjustments, or patent term extensions, and assuming timely payment is made of all appropriate maintenance, renewal, annuity, or other governmental fees. Any patents that may issue in foreign jurisdictions would likewise expire no earlier than 2046, absent any terminal disclaimers, patent term adjustments, or patent term extensions, and assuming timely payment is made of all appropriate maintenance, renewal, annuity, or other governmental fees.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Technology Platform</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patent portfolio includes pending patent applications directed to our technology platform, which integrates advanced engineering, AI, and ML with traditional biology research to accelerate research and development productivity, and to build novel tools that permit us to study biology in living systems. Our technology platform is centered around our proprietary SMT system, integrating tools such as custom-engineered super-resolution microscopy, bespoke automation, advanced data science, and software packages capable of processing petabyte-scale datasets.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aspects of our technology platform are covered by several Eikon-owned patent families comprising 19 pending PCT patent applications and three pending U.S. provisional patent applications. These patent applications are generally directed to hardware, software, and tools for implementing single molecule tracking, including certain algorithms that are part of such software and that implement AI and ML tools and techniques.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19 pending PCT patent applications, any patents that may issue in the United States or in other foreign jurisdictions based on the pending PCT applications would generally expire between 2042 and 2045, absent any terminal disclaimers, patent term adjustments, or patent term extensions, and assuming timely payment is made of all appropriate maintenance, renewal, annuity, or other governmental fees.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three pending U.S. provisional patent applications, we expect in 2026 to file non-provisional patent applications (e.g., a regular U.S. application, a PCT application or foreign national applications) claiming the benefit of the filing dates of the respective pending U.S. provisional patent applications before the expiration of the respective U.S. provisional patent applications. Patents that may issue in the United States from such applications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would expire no earlier than 2046, absent any terminal or other disclaimers, patent term adjustments, or patent term extensions, and assuming timely payment is made of all appropriate maintenance, renewal, annuity, or other governmental fees. Any patents that may issue in foreign jurisdictions based on these provisional applications would likewise expire no earlier than 2046, absent any terminal or other disclaimers, patent term adjustments, or patent term extensions, and assuming timely payment is made of all appropriate maintenance, renewal, annuity, or other governmental fees.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we have and will continue to pursue trademark protection for our company name and brand, as well as slogans, taglines, and logos. As of the date of this Annual Report, we own one pending U.S. trademark application, 114 foreign trademark registrations, six pending foreign trademark applications, and four foreign trademark applications pending refusal that comprise or incorporate “Eikon Therapeutics,” “Eikon,” and/or our former logo, as well as one pending U.S. trademark application for “Motivo.” In connection with changes to our logo, we own one U.S. pending trademark application, two foreign trademark registrations, and 30 pending foreign trademark applications comprising our modified logo.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full commercial organization or distribution capabilities. We intend to build a commercial infrastructure to support sales of any approved product candidates and intend to continue evaluating opportunities to work with partners that enhance our capabilities with respect to the development and commercialization of product candidates, if approved. In addition, we intend to commercialize our product candidates, if approved, in key global markets, either alone or with partners in order to maximize the worldwide commercial potential of our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the manufacture of any products that we may commercialize, if approved. For all our product candidates, where necessary, we intend to identify and qualify redundant manufacturers, including entering into long-term agreements, to provide the active pharmaceutical ingredients and drug product and to do so prior to submission of an NDA or BLA to the FDA and/or a marketing authorization application, or MAA, to the European Medicines Agency, or the EMA, and/or other comparable foreign regulatory authorities. We expect to continue to develop product candidates that can be produced cost-effectively at contract manufacturing facilities.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sale, distribution, post-approval monitoring and reporting, marketing, and export and import of drug products and biologics. We, along with any third-party contractors on whom we rely, will be required to navigate the various requirements of the governing regulatory agencies of the countries in which we wish to conduct studies and clinical trials, seek approval of, and/or commercialize our product candidates. The process of obtaining regulatory approvals and compliance with applicable federal, state, local, and foreign statutes and regulations require the expenditure of substantial time and financial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as amended, or the FDCA, and its implementing regulations. Drugs are also subject to other federal, state, and local statutes and regulations. Biologics are subject to these same requirements in the United States, except that they are licensed under the Public Health Service Act. A new drug or biologic must be approved by the FDA through the NDA or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9" w:name="page70"/>
    <w:bookmarkEnd w:id="6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 process, respectively, before they may be legally marketed in the United States, and this process generally involves the following:</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GLPs and other applicable regulations;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updated annually and when certain changes are made;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EC, representing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GCPs to establish the safety and efficacy of the proposed drug or the safety, purity and potency of the proposed biologic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or BLA after the completion of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or biologic is produced to assess compliance with cGMPs,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nonclinical study and/or clinical trial sites that generated data in support of the NDA or BLA;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a sponsor must submit an IND to the FDA requesting their authorization to administer an investigational product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pharmacodynamics, characteristics of the product, chemistry, manufacturing and controls information, and any available human data or literature to support the use of the investigational product. An IND must become effective before human clinical trials may begin. Some long-term preclinical testing may continue after the IND is submitted.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or may not allow the trial to commence on the terms originally specified in the IND.</w:t>
      </w:r>
    </w:p>
    <w:p>
      <w:pPr>
        <w:spacing w:after="0" w:line="18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dosing procedures, subject selection and exclusion criteria,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retains oversight for the trial to protect study subject welfare until completed.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recommend termination of the clinical trial if it determines that there is an unacceptable safety risk for subjects or other grounds, such as no demonstration of efficacy or other ethical grounds to stop the trial. The FDA or the sponsor may suspend a clinical trial at any time on various grounds, including a finding that the research subjects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patients are being exposed to an unacceptable health risk or that the trial is unlikely to meet its stated objectives. Similarly, an IRB may suspend or terminate approval of a clinical trial at its institution if the clinical trial is not being conducted in accordance with the IRB’s requirements or if the drug or biologic has been associated with unexpected serious harm to patients. There are also requirements governing the reporting of ongoing clinical trials and clinical trial results to public registries.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must ensure that the clinical trial complies with regulatory requirements if the data is to be used in support of NDA or BLA approval. The FDA may accept a well-designed and well-conducted foreign clinical trial not conducted under an IND if the trial was conducted in accordance with GCPs, and the FDA is able to validate the data through an onsite inspection, if deemed necessary.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102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or patients with the target disease or condition. These trials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designed to test the safety, dosage tolerance, absorption, metabolism, excretion, and distribution of the investigational product in humans, the side effects associated with increasing doses, and, if possible, to gain early evidence on effectiveness. In the case of some drugs or biologics for severe or life-threatening diseases, especially when the drug or biologic may be inherently too toxic to ethically administer to healthy volunteers, the initial human testing is often conducted in patients with the target disease or condition.</w:t>
      </w:r>
    </w:p>
    <w:p>
      <w:pPr>
        <w:spacing w:after="0" w:line="75" w:lineRule="exact"/>
        <w:rPr>
          <w:rFonts w:ascii="Times New Roman" w:cs="Times New Roman" w:eastAsia="Times New Roman" w:hAnsi="Times New Roman"/>
          <w:sz w:val="18"/>
          <w:szCs w:val="18"/>
          <w:color w:val="auto"/>
        </w:rPr>
      </w:pPr>
    </w:p>
    <w:p>
      <w:pPr>
        <w:ind w:left="1020" w:right="30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a specified disease or condition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efficacy, optimal dosages and dosing schedule, and to identify possible adverse side effects and safety risks. Multiple Phase 2 trials may be conducted to obtain information prior to beginning larger and more expensive Phase 3 trials.</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 Generally, two adequate and well-controlled Phase 3 trials are required by the FDA for approval of an NDA or BLA.</w:t>
      </w:r>
    </w:p>
    <w:p>
      <w:pPr>
        <w:spacing w:after="0" w:line="182"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for example, because there is an unacceptable health risk.</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for the approved use or uses. These so-called Phase 4 trials may be conducted after initial marketing approval and may be used to gain additional experience from the treatment of patients in the intended therapeutic indication, such as to generate additional safety data regarding use of the product in a clinical setting. In certain instances, the FDA may mandate the performance of Phase 4 clinical trials as a condition of approval of an NDA or BLA.</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status of the clinical trials and preclinical or nonclinical studies performed since the last progress report must be submitted at least annually to the FDA, and written IND safety reports must be submitted to the FDA and investigators for certain types of AEs, findings from other trials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during the development of a new drug or biologic, sponsors are given opportunities to meet with the FDA at certain points. These points may be prior to submission of an IND, at the end of a Phase 2 trial,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trials that they believe will support approval of the new drug or biologic.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product. Data can come from company-sponsored clinical trials intended to test the safety and effectiveness of a use of the product, or from a number of alternative sources, including trials initiated by independent investigators. To support marketing approval, the data submitted must be sufficient to establish the safety and efficacy of the investigational drug product or the safety, purity, and potency of the investigational biological product, for its intended use or uses to the satisfaction of the FDA. The submission of an NDA or BLA is subject to the payment of user fees; a waiver of such fees may be obtained under certain limited circumstances.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generally within the first 60 days after submission, before accepting them for filing, to determine whether they are sufficiently complete to permit substantive review. The FDA may request additional information rather than accept an application for filing. In this event, the NDA or BLA must be resubmitted with the additional information. The resubmitted application also is subject to preliminary review before the FDA accepts it for filing. Once accepted for filing, the FDA reviews an NDA or BLA to determine, among other things, whether a product is safe and effective for its intended use or uses and whether its manufacturing is cGMP-compliant to assure and preserve the product’s identity, strength, quality, and purity. Under the Prescription Drug User Fee Act, or PDUFA, guidelines that are currently in effect, the FDA has a goal of ten months from the filing date to complete its initial review and act on a standard NDA for a drug that is a new molecular entity or a BLA. The FDA also has a goal of ten months from the date of NDA receipt to review and act on a standard NDA for a drug that is not a new molecular entity. The FDA does not always meet its goal dates, and the review process is often extended by FDA requests for additional information or clarification.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designated specifications. Additionally, before approving an NDA or BLA, the FDA will typically inspect one or more clinical sites to assure compliance with GCPs and assure the integrity of the clinical data submitted to the FDA.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and other conditions of use. A CRL indicates that the review cycle of the application is complete and the application is not ready for approval. A CRL will describe all of the deficiencies that the FDA has identified in the NDA or BLA,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other conditions of use. In certain circumstances, the FDA may approve the NDA or BLA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trials and surveillance to further assess and monitor the product’s safety and effectiveness after commercialization and may limit further marketing of the product based on the results of these post-marketing trials or surveillance programs.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and biologics, including for a new active ingredient, new indication, new dosage form, new dosing regimen, or new route of administration. Under PREA, original NDAs,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product approvals may be withdrawn if compliance with regulatory standards is not maintained or problems are identified following initial marketing. Changes to some of the conditions established in an approved NDA, including changes in indications, product labeling, manufacturing processes or facilities, require submission, and FDA approval of a new NDA, or supplement to an approved NDA, before the change can be implemented. An NDA supplement for a new indication typically requires clinical data similar to that in the original application, and the FDA uses the same procedures and actions in reviewing NDA supplements as it does in reviewing original NDAs.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Expedited Development and Review Programs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or BLA is submitted, the product candidate may be eligible for priority review. A Fast Track-designated product candidate may also be eligible for rolling review, where the FDA may consider for review sections of the NDA or BLA on a rolling basis before the complete application is submitted.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Rolling review may occur if the sponsor provides a schedule for the submission of the sections of the NDA or BLA, the FDA agrees to accept sections of the NDA or BLA for review and determines that the schedule is acceptable, and the sponsor pays any required user fees upon submission of the first section of the NDA or BLA.</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as a combination therapy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from FDA to expedite the development and review of the product candidate, including involvement of senior managers.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 product candidate is eligible for priority review if it is designed to treat a serious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 or with respect to non-new-molecular-entity NDAs, within six months of the NDA receipt date.</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permit product candidates studied for their safety and effectiveness in treating serious or life-threatening diseases or conditions to utilize an accelerated approval pathway upon a determination that the product has an effect on (1) a surrogate endpoint that is reasonably likely to predict clinical benefit or (2)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an adequate and well-controlled post-marketing clinical trial or trials to verify and describe the anticipated effect on irreversible morbidity or mortality or other clinical benefit. Any such confirmatory trial must be completed with due diligence and the FDA may require that the trial be underway prior to approval. Failure to conduct such required post-approval trials with due diligence, or to confirm a clinical benefit during such trials, would allow the FDA to withdraw the product from the market on an expedited basis. In addition, the FDA requires, as a condition of accelerated approval, the pre-submission of promotional materials, which can adversely impact the timing of the commercial launch of a product.</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designation, and the accelerated approval pathway do not change the scientific or medical standards for approval or the quality of evidence necessary to support approval. These pathways do not always lead to a faster development or regulatory review or approval process, and do not provide assurance of ultimate full FDA approval.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Marketing Exclusivity</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and the Public Health Service Act can delay the submission or the approval of certain marketing applications. The FDA provides periods of non-patent regulatory exclusivity, which provides the holder of an approved NDA limited protection from new competition in the marketplace. For drugs,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physiological or pharmacological activity of the drug substance. During the exclusivity period, the FDA may not accept for review or approve an abbreviated new drug application, or ANDA, or a 505(b)(2) NDA submitted by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another company that contains the same active moiety. An ANDA or 505(b)(2) application, however, may be submitted one year before NCE exclusivity expires if a Paragraph IV certification of patent invalidity, unenforceability, or non-infringement is filed.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ingredient for the original indication or condition of use. Five-year and three-year exclusivity will not delay the submission or approval of a 505(b)(1) NDA; however, an applicant submitting a 505(b)(1) NDA would be required to conduct or obtain a right of reference to all of the preclinical studies and adequate and well-controlled clinical trials necessary to demonstrate safety and efficacy.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Biologics are also entitled to exclusivity under amendments to the Public Health Service Act from the Biologics Price Competition and Innovation Act, or the BPCIA. Under the BPCIA, a reference biological product is 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Biosimilarity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which is generally shown through a combination of analytical studies, animal studies, and a clinical trial or trials. Certain biological products can also be shown to be interchangeable with the original biological product, which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In addition, the approval of a biosimilar product may not be made effective by the FDA until 12 years from the date on which the reference product was first licensed. The BPCIA also created certain exclusivity periods for biosimilars approved as interchangeable products.</w:t>
      </w:r>
    </w:p>
    <w:p>
      <w:pPr>
        <w:spacing w:after="0" w:line="19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FDA may also grant pediatric exclusivity to drugs, which provides an additional six months of exclusivity running from the expiration date of each other existing regulatory exclusivity period and from the date of each patent listed with FDA. The FDA may also grant pediatric exclusivity to biologics, but that exclusivity will only attach to the reference product and orphan drug exclusivity period, not patents for biological products. To be eligible for pediatric exclusivity, the FDA must issue a Written Request detailing the trials to be performed and the timeframe for their completion. If an applicant agrees to perform the trials as outlined in the Written Request, the applicant must submit trial reports at least nine months prior to the expiry of the exclusivity or patent, as applicable, that is to be extended. The trial reports must demonstrate that the applicant has met the conditions of the Written Request.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Post-Approval Requirements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which include restrictions on promoting products for unapproved uses or patient populations, known as off-label use, and limitations on industry-sponsored scientific and educational activities. After approval, changes to the approved product, manufacturing locations or processes, or labeling are subject to FDA review and approval. Significant changes require prior FDA review and approval. Further, for certain modifications to the drug, including changes in indications, labeling, or manufacturing processes or facilities, the applicant may be required to submit and obtain prior FDA approval of a new NDA, BLA, or supplement, which may require the development and submission of additional data. There also are continuing, annual user fees due to FDA for any marketed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Drug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in the event of a deviation affecting a marketed product. Manufacturers and other parties involved in the drug supply chain for prescription drug products must also comply with product tracking and other tracking requirements and must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FDA may withdraw approval of an NDA or BLA for various reasons, including based on new concerns related to safety or effectiveness or if compliance with regulatory requirements and standards is not maintained. Later discovery of previously unknown problems with a product, including AEs of unanticipated severity or frequency, or with manufacturing processes, or failure to comply with regulatory requirements, may also result in revisions to the approved labeling to add new safety information, imposition of post-market trials or clinical trials to assess new safety risks, or imposition of distribution restrictions or other restrictions under a REMS program. Other potential consequences for the failure to meet applicable requirements include, among other things:</w:t>
      </w:r>
    </w:p>
    <w:p>
      <w:pPr>
        <w:spacing w:after="0" w:line="7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trials;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drugs and biologics. A company may make only those claims relating to safety, efficacy, purity, and potency that are in accordance with the provisions of the approved labeling. The FDA and other agencies actively enforce the laws and regulations prohibiting false or misleading promotion, including false or misleading promotion of off-label uses. Failure to comply with these requirements may result in, among other things, adverse publicity, warning or other enforcement letters, corrective advertising, product seizure, and other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(e.g.,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as well as applicable state laws.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companies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company to enter into supply contracts, including government contracts. In addition, even if a company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8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Patent Term Restoration</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future U.S. patents may be eligible for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Subject to these 5-year and 14-year limitations, the patent term restoration period is generally one-half the time between the effective date of an IND and the submission date of an NDA or BLA plus the time between the submission date of an NDA or BLA and the approval of that application, where such period occurs after the patent’s issue date, except that the review period is reduced by any time during which the applicant failed to exercise due diligence. Only one patent applicable to an approved product is eligible for the extension and, among other requirements, the application for the extension must be submitted prior to the expiration of the patent. The USPTO, in consultation with the FDA, reviews and approves the application for any patent term extension or restoration. However, the USPTO may not grant an extension because of, for example, an applicant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In the future, we may apply for restoration of patent term for our then owned or licensed patents as to our FDA-approved products to add patent life beyond its current expiration date, depending on the expected length of the clinical trials and other factors involved in the filing of the relevant NDA or BLA.</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and can be a time-consuming process, with no assurance that coverage and adequate reimbursement will be applied consistently or obtained in the first instance or at all. These third-party payors are increasingly reducing reimbursements for medical products and services.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In order to secure coverage and reimbursement for any product candidate that might be approved for sale, we may need to conduct expensive pharmacoeconomic studies to demonstrate the medical necessity and cost-effectiveness of the product candidate, in addition to the costs required to obtain FDA or other comparable regulatory approvals. Whether or not we conduct such studies, our product candidates may not be considered medically necessary or cost-effective. A third-party payor’s decision to provide coverage for a product does not imply that an adequate reimbursement rate will be approved. Third-party reimbursement may not be sufficient to enable us to maintain price levels high enough to realize an appropriate return on our investment in product development. In the United States, the principal decisions about reimbursement for new products are typically made by CMS, an agency within HHS. CMS decides whether and to what extent a new product will be covered and reimbursed under Medicare, and private payors tend to follow CMS to a substantial degree. However, no uniform policy of coverage and reimbursement for products exists among third-party payors and coverage and reimbursement levels for products can differ significantly from payor to payor. Moreover, as a condition of participating in, and having products covered under, certain federal healthcare programs, such as Medicare and Medicaid, we will be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AMP reported to the Department of Veteran</w:t>
      </w:r>
    </w:p>
    <w:p>
      <w:pPr>
        <w:spacing w:after="0" w:line="19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 if any of our product candidates are approved.</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Specifically, with respect to price negotiations, CMS has negotiated prices for the first ten high-cost drugs paid for by Medicare Part D starting in 2026, which will be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has established and will continue to establish maximum prices for these products in price negotiations, we would be fully at risk of government action if our products become the subject of Medicare price negotiations. Moreover, given the risk that could be the case, these provisions of the IRA may further heighten the risk that we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would not be able to achieve the expected return on our drug products or full value of our patents protecting our products if prices are set after such products have been on the market for nine years. Various industry stakeholders, including certain pharmaceutical companies and industry groups have initiated lawsuits against the federal government asserting that the price negotiation provisions of the IRA are unconstitutional. The effects of the IRA on our business and the healthcare industry in general is not yet known.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and state governments, and the prices of drugs and biologics, have been a focus in this effort. The U.S. government, state legislatures, and foreign governments have shown significant interest in implementing cost-containment programs, including by passing legislation and regulations designed to control pharmaceutical and biological product pricing, including government price controls, price or patient reimbursement constraints, discounts, restrictions on certain drug access, marketing cost disclosure, transparency measures, requirements for substitution of generic products, and other measures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In many countries, the prices of products are subject to varying price control mechanisms as part of national health systems. For example, in the European Union, or the EU,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 do not follow price structures of the United States and generally prices tend to be significantly lower. In general, the prices of products under such systems are substantially lower than in the United States. Accordingly, in markets outside the United States, the reimbursement for products may be reduced compared with the United States. Adoption of price controls and cost-containment measures, and adoption of more restrictive policies in jurisdictions with existing controls and measures, could further limit our future net revenue and results if our product candidates are approved in these jurisdictions. Decreases in third-party reimbursement for any of our product candidates or a decision by a third-party payor to not cover our product candidates could reduce physician usage of the product candidates, if approved, and have a material adverse effect on our sales, financial condition, and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drug manufacturers and sponsors are subject to a number of federal and state healthcare regulatory laws that restrict business practices in the healthcare industry. These laws include, but are not limited to, federal and state anti-kickback, false claims, and other healthcare fraud and abuse laws, as described below.</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federal false claims laws, including the federal FCA,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FCA may be brought by the U.S. Attorney General or as a qui tam action by a private individual in the name of the government. Moreover, a claim including items or services resulting from a violation of the U.S. federal Anti-Kickback Statute constitutes a false or fraudulent claim for purposes of the civil FCA.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HIPAA, as amended by HITECH and their respective implementing regulations,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are federal price reporting laws, which require manufacturers to calculate and report complex pricing metrics to government programs, and such reported prices may be used in the calculation of reimbursement and/or discounts on approved products.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are also federal consumer protection and unfair competition laws, which broadly regulate marketplace activities and activities that potentially harm consumers.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For example, implementation of the ACA substantially changed the way healthcare is financed by both governmental and private insurers in the United States and significantly affected the pharmaceutical industry.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the Budget Control Act of 2011 and subsequent legislation, among other things, created measures for spending reductions by Congress that include aggregate reductions of Medicare payments to providers of 2% per fiscal year, which remain in effect through the first half of 2032. Due to the Statutory Pay-As-You-Go Act of 2010, estimated budget deficit increases resulting from the American Rescue Plan Act of 2021 and subsequent legislation, Medicare payments to providers are subject to further reductions in 2025.</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assistance programs, and reform government program reimbursement methodologies for drugs. President Biden has issued multiple executive orders that have sought to reduce prescription drug costs.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current or future presidential administrations may reverse or otherwise change these measures, both the executive branch and Congress have at times indicated that they will continue to seek new legislative measures to control drug costs.</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FCPA prohibits any U.S. individual or business, as well as its employees, agents, and other representatives, from paying, offering, authorizing payment, or offering of anything of value, directly or indirectly, to any foreign official, political party, or candidate for the purpose of influencing any act or decision of the foreign entity in order to obtain, retain, or direct business. The FCPA also obligates companies whose securities are publicly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and Rest of World Government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regulatory strategy involves filing clinical trial applications, or CTAs, for our early-stage clinical trials in jurisdictions outside of the United States to support enrollment in our clinical trials, which may include Australia and other countries. As a result, in addition to regulations in the United States, we expect to be subject to a variety of regulations in other jurisdictions that we may in the future select to test or commercialize our product candidates,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 EC, much like the FDA and IRB, respectively. Once the CTA is approved in accordance with a country’s requirements, clinical trial development may proceed.</w:t>
      </w:r>
    </w:p>
    <w:p>
      <w:pPr>
        <w:spacing w:after="0" w:line="18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regulatory systems, we must submit a MAA, either under a centralized procedure administered by the EMA or one of the procedures administered by competent authorities in the EU member states. The application used to file the NDA in the United States is similar to that required in the EU, with the exception of, among other things, country-specific document requirements.</w:t>
      </w:r>
    </w:p>
    <w:p>
      <w:pPr>
        <w:spacing w:after="0" w:line="180" w:lineRule="exact"/>
        <w:rPr>
          <w:sz w:val="20"/>
          <w:szCs w:val="20"/>
          <w:color w:val="auto"/>
        </w:rPr>
      </w:pPr>
    </w:p>
    <w:p>
      <w:pPr>
        <w:ind w:right="560" w:firstLine="509"/>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such as Australia,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Information Security and Cybersecurity Laws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Accordingly, we are subject to numerous data privacy and security obligations, including foreign and U.S. federal, state, and local laws, regulations, guidance, industry standards, external and internal privacy and security policies, contractual requirements, and other obligations related to data privacy and security.</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data privacy and security laws are evolving and may impose potentially conflicting obligations. Such obligations may include, without limitation, the Federal Trade Commission Act, the EU GDPR, the UK GDPR, the Data Security Program Rule, and HIPAA, as amended by HITECH. In addition, over the past few years, numerous U.S. states have enacted comprehensive privacy laws that impose certain obligations on covered businesses, and similar laws are being considered in several other states, as well as at the U.S. federal level. These new laws are examples of the increasingly stringent and evolving regulatory frameworks related to personal data processing that may increase our compliance obligations and exposure for any noncompliance.</w:t>
      </w:r>
    </w:p>
    <w:p>
      <w:pPr>
        <w:spacing w:after="0" w:line="18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Additionally, because we collect personal data from individuals outside of the United States, through clinical trials or otherwise, we are, or may become, subject to foreign data privacy and security laws, such as the EU GDPR. Foreign data privacy and security laws impose significant and complex compliance obligations on entities that are subject to those laws. For example, the EU GDPR applies to any company established in the EEA processing personal data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imposing transparency obligations in relation to data subjects, requiring data protection impact assessments in certain circumstances, limiting the collection and retention of personal data, establishing rights for data subjects; formalizing a heightened and codified standard for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EU in certain circumstances. For more information, see the risk factor in this Annual Report titled “</w:t>
      </w:r>
      <w:r>
        <w:rPr>
          <w:rFonts w:ascii="Times New Roman" w:cs="Times New Roman" w:eastAsia="Times New Roman" w:hAnsi="Times New Roman"/>
          <w:sz w:val="18"/>
          <w:szCs w:val="18"/>
          <w:i w:val="1"/>
          <w:iCs w:val="1"/>
          <w:color w:val="auto"/>
        </w:rPr>
        <w:t>We and the third parties with whom we work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stringent and evolving U.S. and foreign laws, regulations and rules, contractual obligations, industry standards, policies and other obligations related to privacy and cybersecurity.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 as could changes in such laws, regulations, and other obligations.</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384 full-time employees. Of those, 321 were engaged in research and development activities. More than 112 of our employees hold either Ph.D. or M.D. degrees or both. All of our employees are located in the United States. We do not have any employees that are represented by a labor union or covered by a collective bargaining agreement. We consider our relationship with our employees to be good.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ability to attract, develop, and retain key personnel and maintain our culture among our board of directors, management, and broader workforce. Our human resources objectives include, as applicable, identifying, attracting, retaining, incentivizing, and integrating existing and prospective employees. Our employees have access to a broad range of benefits, including health insurance, a 401(k) plan, equity incentive plans, and other customary employee benefits. The purpose of these benefits is to attract and retain the best available personnel, incentivize our employees, promote the success of our business and strengthen, the mutuality of interest between employees and our stockholders. As these areas directly impact our ability to compete and innovate, they are key focus areas for our board of directors and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While our team of employees and consultants has a profound knowledge of drug discovery and development, we also seek advice from our scientific advisory board, which is comprised of preeminent researchers including multiple Nobel prize winners, a Howard Hughes Medical Institute investigator and leading experts globally who have conducted foundational research. Our scientific advisory board meets periodically with our board of directors and management to discuss matters relating to our business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lease approximately 285,000 square feet of space at our corporate headquarters in Millbrae, California. The Millbrae lease expires in January 2040. We also currently lease and sublease a total of approximately 125,000 square feet of space across two different properties in Hayward, California, for use as office and research and development space. These leases and subleases expire between October 2026 and July 2029. We currently lease approximately 13,000 square feet of space in New York, New York, which expires in June 2028, for use as research and development space, and approximately 36,000 square feet of space in Jersey City, New Jersey, which expires in July 2027, to serve as our East Coast headquarters. We believe that our existing facilities are adequate to meet our current needs, and that suitable additional alternative spaces will be available in the future on commercially reasonable terms.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July 2019. Our principal executive offices are located at 230 Harriet Tubman Way, Millbrae, CA 94030, and our telephone number is (341) 777-0566.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website address is https://eikontx.com/. We file reports with the Securities and Exchange Commission, or the SEC, which we make available on our website free of charge. These reports include annual reports on Form 10-K, quarterly reports on Form 10-Q, current reports on Form 8-K and amendments to such reports, each of which is provided on our website as soon as reasonably practicable after we electronically file such materials with or furnish them to the SEC. We do not incorporate the information on, or accessible through, our website into this Annual Report, and you should not consider any information on, or accessible through, our website as part of this Annual Report. We have included our website address in this Annual Report solely as an inactive textual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In deciding whether to invest, you should carefully consider and read the following risk factors, as well as the financial and other information contained in this Annual Report, including the section titled “Management’s Discussion and Analysis of Financial Condition and Results of Operations” and our financial statements and related notes included elsewhere in this Annual Report.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Limited Operating History, and Financial Position</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a late clinical-stage biotechnology company with a limited operating history. Consequently, it may be more difficult to evaluate our business, and predictions about our future may not be as accurate as they could be if we had a longer operating history. We were formed in July 2019 and have devoted substantially all of our resources since that time to research, engineering, and development activities, including the clinical development of our clinical-stage product candidates EIK1001, EIK1003, and EIK1004, which were in-licensed, and EIK1005, and other preclinical programs, the development of our technology platform, including the engineering of the hardware, software, reagents, and processes that we use to conduct single molecule tracking and other techniques, recruiting management and technical staff, developing and establishing our intellectual property portfolio, entering into collaboration agreements to further our development programs, building our facilities, including our new site in Millbrae, California, infrastructure to support such activities, and raising capital. We are currently conducting a Phase 2/3 registrational trial for EIK1001 in combination with pembrolizumab for the treatment of patients with advanced melanoma. For patients with non-small cell lung cancer, or NSCLC, we are conducting a Phase 2 trial, and recently initiated site selection for a Phase 2/3 registrational trial, for EIK1001 in combination with pembrolizumab and chemotherapy. For EIK1003, we are conducting a Phase 1/2 trial in ovarian, breast, prostate, and pancreatic cancers. We have also recently initiated Phase 1/2 trials for EIK1004 and for EIK1005. The rest of our programs remain in preclinical development.</w:t>
      </w:r>
    </w:p>
    <w:p>
      <w:pPr>
        <w:spacing w:after="0" w:line="19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continue to incur significant research, development, and other expenses related to our ongoing operations. The success of our business depends primarily upon our ability to identify, develop, and commercialize our product candidates.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to date. We do not know whether we will be able to develop any product candidates of commercial value. We do not expect to generate product revenues unless and until we obtain marketing approval for a product candidate. We have not yet submitted an application for marketing approval for a product candidate in any jurisdiction. Investing in biotechnology product development is highly speculative because of the significant risk that, despite significant investment, any potential product candidate may fail to demonstrate adequate effectiveness or an acceptable safety profile, gain regulatory approval, or become commercially viable.</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Net losses and negative cash flows have had, and will continue to have, an adverse effect on our stockholders’ equity and working capital. For the years ended December 31, 2025 and 2024, we reported a net loss of $324.2 million and $243.8 million, respectively. As of December 31, 2025, we had an accumulated deficit of $920.5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as we:</w:t>
      </w:r>
    </w:p>
    <w:p>
      <w:pPr>
        <w:spacing w:after="0" w:line="117" w:lineRule="exact"/>
        <w:rPr>
          <w:sz w:val="20"/>
          <w:szCs w:val="20"/>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clinical development of our product candidates, including our four most advanced product candidates: EIK1001, EIK1003, EIK1004, and EIK1005, and our preclinical development of EIK1006;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target selection and drug screening programs and develop any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the manufacturing of preclinical and clinical supply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current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manufacturing, and distribution infrastructure to commercialize any product candidates for which we may obtain marketing approval, if 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commercial,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protect, maintain, enforce, defend, and expand our intellectual property and other proprietary rights, or acquire or in-license intellectual property, and other proprietary rights and technologies, from third parties;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or regulatory approval for our product candidates, including as a result of delays in patient enrollment as well as macroeconomic conditions, geopolitical conflicts, or other factors; and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costs associated with operating as a public company.</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from the United States Food and Drug Administration, or FDA, and/or foreign regulatory authorities.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to incur substantial expenditures to advance our current and future preclinical and clinical development programs, and seek regulatory approval for our product candidates. In addition, even if we obtain marketing approval for any of our product candidates, we expect to incur significant commercialization expenses related to product manufacturing, marketing, sales, and distribution. Furthermore, we will incur additional costs associated with operating as a public company. Accordingly, we will need to obtain substantial additional capital in connection with our continuing operations.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17" w:lineRule="exact"/>
        <w:rPr>
          <w:sz w:val="20"/>
          <w:szCs w:val="20"/>
          <w:color w:val="auto"/>
        </w:rPr>
      </w:pPr>
    </w:p>
    <w:p>
      <w:pPr>
        <w:ind w:left="1020" w:right="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and planned clinical trials for our current or future product candidates, including additional expenses attributable to adjusting our development plans;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 and clinical trials required for regulatory approval of our current or future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8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or maintain collaboration, license, or other similar agreements, and the achievement of milestones or occurrence of other developments that trigger payments or other obligations under any existing or additional collaboration, license, or similar agreements;</w:t>
      </w:r>
    </w:p>
    <w:p>
      <w:pPr>
        <w:spacing w:after="0" w:line="31" w:lineRule="exact"/>
        <w:rPr>
          <w:rFonts w:ascii="Times New Roman" w:cs="Times New Roman" w:eastAsia="Times New Roman" w:hAnsi="Times New Roman"/>
          <w:sz w:val="17"/>
          <w:szCs w:val="17"/>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acquisitions and licenses;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and other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invest in our technology platform, including our proprietary single molecule tracking, or SMT, system, and our drug discovery efforts to identify novel targets and drug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including our need to implement additional internal systems and infrastructure, including financial and reporting systems;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or adequate reimbursement from third-party payors; and</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as well as other factors, including economic uncertainty and geopolitical tensions, which may exacerbate the magnitude of the factors discussed above.</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Our ability to raise additional funds will be dependent on financial, economic and market conditions, geopolitical issues, and other factors, over which we may have limited or no control.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funds by entering into collaborations, strategic alliances, or licensing arrangements with third parties, we may have to relinquish valuable rights to our technologies, future revenue streams, research programs or product candidates, or grant licenses on terms, including royalties, that may not be favorable to us, any of which may harm our business, financial condition, results of operations, and prospects. See the risk factors in this Annual Report titled “—</w:t>
      </w:r>
      <w:r>
        <w:rPr>
          <w:rFonts w:ascii="Times New Roman" w:cs="Times New Roman" w:eastAsia="Times New Roman" w:hAnsi="Times New Roman"/>
          <w:sz w:val="18"/>
          <w:szCs w:val="18"/>
          <w:i w:val="1"/>
          <w:iCs w:val="1"/>
          <w:color w:val="auto"/>
        </w:rPr>
        <w:t>We rely on license, collaboration, and other similar agreements to provide rights to the core intellectual property relating to most of our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r>
        <w:rPr>
          <w:rFonts w:ascii="Times New Roman" w:cs="Times New Roman" w:eastAsia="Times New Roman" w:hAnsi="Times New Roman"/>
          <w:sz w:val="18"/>
          <w:szCs w:val="18"/>
          <w:color w:val="auto"/>
        </w:rPr>
        <w:t>” If we are unable to raise additional funds through equity or debt financings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development programs, including EIK1001, EIK1003, EIK1004, EIK1005, EIK1006, and our ARv7 program,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the majority of our efforts and financial resources in the identification of our product candidates and their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if approved, successfully commercialize our product candidates, which may never occur.</w:t>
      </w:r>
    </w:p>
    <w:p>
      <w:pPr>
        <w:spacing w:after="0" w:line="183"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may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preclinical and clinical development, including the appearance of unexpected adverse events or failure to achieve the designated endpoints of our clinical trials.</w:t>
      </w:r>
    </w:p>
    <w:p>
      <w:pPr>
        <w:spacing w:after="0" w:line="1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will not be permitted to market or promote any of our product candidates until we receive regulatory approval from the FDA or comparable foreign regulatory authorities, and we may never receive such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FDA or comparable foreign regulatory authorities may also consider their approvals of competing products concurrently with their review of our new drug applications, or NDAs, investigational new drug applications, or INDs, or other submissions. That review may lead to changes in the review requirements that had been previously communicated to us and our interpretation thereof, including changes to requirements for clinical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or clinical trial design. Such changes could delay approval or necessitate the withdrawal of our NDAs, INDs, or other submissions.</w:t>
      </w:r>
    </w:p>
    <w:p>
      <w:pPr>
        <w:spacing w:after="0" w:line="22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for marketing by applicable regulatory authorities, our ability to generate revenue from any approved products will depend on our ability to:</w:t>
      </w:r>
    </w:p>
    <w:p>
      <w:pPr>
        <w:spacing w:after="0" w:line="54" w:lineRule="exact"/>
        <w:rPr>
          <w:sz w:val="20"/>
          <w:szCs w:val="20"/>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the ability to make claims that are necessary or desirable for successful marketing;</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products ourselves or through contract manufacturing organizations, or CMOs,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supports broad product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products through our own marketing and sales activities, and any other arrangements to promote these products that we may otherwise establish;</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enforce, and defend patent and other intellectual property and proprietary rights and regulatory exclusivity for our products;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product will be used as directed and that additional unexpected safety risks will not arise.</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these factors in a timely manner or at all, we could experience significant delays or an inability to successfully commercialize our product candidates, which would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applying our technology platform to identify or develop safe, effective, or commercially viable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technology platform is central to our belief that by quantitating the dynamics of proteins in their full, living, cellular context, we can improve the speed and probability of success of drug development, as well as the identification of clinically relevant biomarkers. Our technology platform is centered around our proprietary SMT system, integrating tools such as custom-engineered super-resolution microscopy, bespoke automation, advanced data science, and software packages capable of processing petabyte-scale datasets. While we believe that we can generate important scientific insights by understanding protein behavior at a molecular level inside intact living cells from human cell lines, thereby accelerating the identification of novel agents that would prove clinically valuable, EIK1005 is the only product candidate in clinical development that has leveraged our technology platform. Rights related to all other clinical-stage products candidates are in-licensed. EIK1006, which also leveraged our technology platform, is still in preclinical studies and it is possible that it may not advance to clinical trials. There can be no certainty that our technology platform will lead to the identification of clinically relevant biomarkers or additional clinical product candidates, or improve the speed and probability of success of drug development in the manner which we expect, if at all.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9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technology platform depends upon the continuous, effective, and reliable operation of our software, hardware, databases, and related tools and functions, as well as the integrity of our data. Our ability to develop drug candidates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underpins our ability to identify important and emerging use cases, and to quickly develop new and effective innovations that address those use cases.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technology platform. These investments may involve significant time, risks, and uncertainties, including the risks that any new software, biological, chemical, or hardware enhancement, or the integration of software or hardware from third-party licensors, may not be introduced in a timely or cost-effective manner, may not keep pace with technological developments, or may not achieve the functionality necessary to generate significant insights to improve the speed or probability of drug discovery or development. Moreover, similar technologies may be developed that provide significant advantages over ours, which could adversely affect the return from the investment in our technology platform.</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proprietary software tools, hardware, and datasets are inherently complex. We have from time to time found defects, vulnerabilities, or other errors in our software and hardware that produce the datasets we use to discover new drug candidates, and new errors with our software and hardware may be detected in the future. The risk of 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 Any errors, defects, disruptions, or other performance problems with our software, hardware, or datasets could hurt our ability to gather valuable insights that we intend to use to assist in developing our current and future product candidates and hence accelerate our discovery of new drugs.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See the risk factor in this Annual Report titled “—</w:t>
      </w:r>
      <w:r>
        <w:rPr>
          <w:rFonts w:ascii="Times New Roman" w:cs="Times New Roman" w:eastAsia="Times New Roman" w:hAnsi="Times New Roman"/>
          <w:sz w:val="18"/>
          <w:szCs w:val="18"/>
          <w:i w:val="1"/>
          <w:iCs w:val="1"/>
          <w:color w:val="auto"/>
        </w:rPr>
        <w:t>If our information technology systems, or those used by our CROs, CMOs,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enhance our technology platform, or if there are any defects or disruptions in our technology platform that are not timely resolved, our ability to identify and develop new product candidates could be materially and adversely impacted, and our reputation, business, operating results, and prospects could be materially harmed.</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Even if our technology platform performs its intended functions, we may be unable to use the discoveries resulting from the platform to produce new therapies. If we are unable to use our platform to develop and market new drugs or therapies, our business may fail or we may never become profitable.</w:t>
      </w:r>
    </w:p>
    <w:p>
      <w:pPr>
        <w:spacing w:after="0" w:line="280"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key leaders, and our future success depends on our ability to retain these individuals and to attract and retain qualified personnel.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upon Roger M. Perlmutter, M.D., Ph.D., our Chief Executive Officer, and Roy Baynes, M.D., Ph.D., our Chief Medical Officer, and losing the services of either of these individuals could delay or prevent the successful development of our product candidates, the initiation or completion of our preclinical studies and clinical trials, or the commercialization of our product candidates. The employment agreements of both officers with us are terminable by them at will and, therefore, we may not be able to retain their services as expected. We currently do not maintain “key person” insurance for any of our executives or employees.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If we are not able to attract, integrate, retain, and motivate necessary personnel to accomplish our business objectives, we may experience constraints that will significantly impede the achievement of such objectives, our ability to raise additional capital, and our ability to implement our business strategy.</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AI/ML to enable 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use artificial intelligence, or AI, and machine learning, or ML, to enable our analysis of the data generated through our technology platform. We also use, and may in the future use, AI/ML to perform other tasks in connection with our business. If access to this data is lost or limited,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occurrence of any of these events could prevent us from leveraging our AI/ML capability and software to help us identify potential product candidates through our technology platform and have a material adverse effect on our business, financial condition, results of operations, or prospects. See the risk factor in this Annual Report titled “—</w:t>
      </w:r>
      <w:r>
        <w:rPr>
          <w:rFonts w:ascii="Times New Roman" w:cs="Times New Roman" w:eastAsia="Times New Roman" w:hAnsi="Times New Roman"/>
          <w:sz w:val="18"/>
          <w:szCs w:val="18"/>
          <w:i w:val="1"/>
          <w:iCs w:val="1"/>
          <w:color w:val="auto"/>
        </w:rPr>
        <w:t>If our information technology systems, or those used by our CROs, CMOs, clinical sites, or other contractors,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While not directly related to our AI/ML capabilities, other uses of AI systems have additional risks, including around generative AI. Although AI systems may help provide more tailored experiences, if the content, analyses, or recommendations that AI systems assist in producing in our technology platform are, or are perceived to be, deficient, inaccurate, biased, unethical, or otherwise flawed, our reputation, competitive position, and business may be materially and adversely affected. To the extent that we do not have sufficient rights to use the data or other material or content used in or produced by the AI tools used in our business, or if we experience cybersecurity incidents in connection with our use of AI, it could adversely affect our reputation and expose us to legal liability or regulatory risk, including with respect to third-party intellectual property, privacy, data protection and cybersecurity, publicity, contractual, or other rights. In addition, the regulatory framework for AI and similar technologies, and automated decision making, is changing rapidly.</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the utilization of AI/ML becomes more prevalent, we anticipate that it will continue to present new or unanticipated ethical, reputational, technical, operational, legal, competitive, and regulatory issues, among others. Because these technologies are themselves highly complex and rapidly developing, it is not possible to predict all of the legal or regulatory risks that may arise relating to our use of such technologies. We expect that the continued incorporation of AI/ML in our business will require additional resources, including the accumulation of additional costs, to develop and maintain our technology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AI/ML could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 candidates, which could adversely affect our business, financial condition, results of operations, and prospects.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treatments, and we face an even greater risk if we commercialize any products we may develop. Product liability claims could delay or prevent completion of our development programs. Regardless of the merits or eventual outcome, product liability claims may result in decreased demand for our product candidates, termination of clinical trial sites or entire trial programs, withdrawal of clinical trial participants, initiation of investigations by regulators, injury to our reputation and significant negative media attention, significant time and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While we currently hold product liability insurance coverage,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 A successful product liability claim or series of claims brought against us could decrease our cash and could adversely affect our business, financial condition, results of operations, and prospects.</w:t>
      </w:r>
    </w:p>
    <w:p>
      <w:pPr>
        <w:spacing w:after="0" w:line="29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spacing w:after="0" w:line="67"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principal investigators, contract research organizations, or CROs, consultants, commercial partners, and vendors.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comply with manufacturing standards we have established, to report financial information or data on time,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additional integrity oversight and reporting obligations, contractual damages, reputational harm, diminished profits and future earnings, and the curtailment or restructuring of our operations. Further, defending against any such actions can be costly and time consuming, and may require significant financial and personnel resources. Therefore, even if we are successful in defending against any such actions that may be brought against us, our business may be impaired.</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key part of our strategy is to strategically evaluate and, as we deem appropriate, enter into collaborations or partnerships, including with major biotechnology or pharmaceutical companies, to advance our current or future product candidates. We have entered into collaborations with Seven and Eight Biotherapeutics Corp. and related entities, collectively known as Seven and Eight, Superb Wisdom Limited, or SW, Impact Therapeutics (Shanghai) Inc., or Impact, and MSD International Business GmbH, or MSD, to conduct various research and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activities. We have limited capabilities for product development and do not yet have any capability for commercialization. Accordingly, we may in the future continue to enter into collaborations with other companies to partner with and/or provide us with funding for our programs and technology. Any of these relationships may require us to incur non-recurring and other charges, increase our near and long-term expenditures, issue securities that dilute our existing stockholders, or disrupt our management and business. Further, any of our existing or future collaborations that we enter into may not be successful. The success of our collaboration arrangements now or in the future will depend heavily on the efforts and activities of our collaborators.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collaborations and any future collaborations we enter into pose a number of other risks, including the following: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collaboration with them, and in such cases, we would not have the exclusive right to develop or commercialize such intellectual property;</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31" w:lineRule="exact"/>
        <w:rPr>
          <w:rFonts w:ascii="Times New Roman" w:cs="Times New Roman" w:eastAsia="Times New Roman" w:hAnsi="Times New Roman"/>
          <w:sz w:val="17"/>
          <w:szCs w:val="17"/>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of our product candidates that achieve regulatory approval, if any, may not commit sufficient resources to or otherwise may not perform satisfactorily in carrying out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invest resources and attention into such collaborations, which could distract from other business objectives;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and other proprietary rights, contract interpretation, or the preferred course of development, might cause delays or terminations of the research, development, or future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seek to amend or modify the terms of, or terminate, any collaboration;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86"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or other proprietary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future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if approved.</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if approved, in the most efficient manner, or at all. If our collaborations do not result in the successful discovery, development, and future commercialization of product candidates, if approved, or if one of our collaborators terminates its agreement with us, we may not receive any future research funding or royalty or other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To successfully partner our product candidates, potential partners must view these product candidates as economically valuable in markets they determine to be attractive in light of the terms that we are seeking, and as compared with other products available for licensing by other companies.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Collaborations are complex, expensive, and time-consuming to negotiate and document. 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Moreover, we face significant competition in seeking appropriate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 Additionally, our collaboration agreements may contain non-competition provisions that could limit our ability to enter into strategic collaborations with future collaborators or restrict our ability to commercialize product candidates on our own, if approved.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develop our product candidates, bring them to the market, if approved, and generate revenue from sales of drugs, or continue to develop our technology, and our business, financial condition, results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this Annual Report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 for more information on our collaboration agreements.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additional material weaknesses in the future or otherwise fail to maintain effective internal control over financial reporting, which could result in material misstatements of our financial statements or cause us to fail to meet our periodic reporting obligations.</w:t>
      </w:r>
    </w:p>
    <w:p>
      <w:pPr>
        <w:spacing w:after="0" w:line="6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evaluation of the accounting considerations for complex terms in lease arrangements. The material weakness resulted in the restatement of the condensed balance sheet and condensed statement of cash flows as of and for the nine months ended September 30, 2025. Additionally, this material weakness could result in misstatements to lease-related accounts or disclosures that would result in a material misstatement to the annual or interim financial statements that would not be prevented or detected.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taking steps to remediate the material weakness and to strengthen our internal control over financial reporting. The material weakness will not be considered remediated until management completes the design and implementation of the controls and the controls operate for a sufficient period of time and management has concluded, through testing, that these controls are effective.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will not be required to evaluate the effectiveness of our internal control over financial reporting until our second Annual Report on Form 10-K after our initial public offering.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 which could result in substantial costs and divert management’s attention and resources from our business.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in the ordinary course of business or otherwise, including claims related to employment matters, security of patient, employee, and other personal data, product liability, intellectual property and other proprietary rights, or contractual relations with current or past collaborators or licensors.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or manmade disasters.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current operations are concentrated predominantly in Millbrae, California, New York, New York, and Jersey City, New Jersey.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prevented or limited patient enrollment, affected clinical supply or the conduct of our clinical trials, damaged critical infrastructure, such as the manufacturing facilities of our third-party CMOs or CROs,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30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could adversely affect our business, financial condition, results of operations, or prospects.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A severe or prolonged economic downturn, global financial or political crises, or geopolitical events including the ongoing conflict between Russia and Ukraine and the recent commencement of hostilities in Iran,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weakened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affect our business. Furthermore, continued market volatility or a general economic downturn could cause our stock price to decline as a result of factors unrelated to our performance.</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those with respect to China, increased tariffs, and reductions in federal research funding, could adversely affect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current presidential administration, including the imposition of new tariffs on imported materials and goods from certain foreign countries, including Canada, Mexico, and China, and the temporary freeze on federal grants and loans, may have an adverse impact on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April 2025, the current presidential administration imposed a baseline ten percent tariff on imports from all nations importing goods to the United States, with that baseline supplemented in certain cases by additional tariffs that vary by nation, product, or industry. Retaliatory tariffs on U.S. goods have been imposed by, among others, China, Canada, and the European Union, or the EU, which could impact inflation rate, increase the cost of goods, and adversely affect our business. On February 20, 2026, the U.S. Supreme Court ruled against the current presidential administration’s use of tariffs under the International Emergency Economic Powers Act, or IEEPA. However, in response to the U.S. Supreme Court ruling, the current presidential administration imposed a new worldwide tariff under other legal authority, effective for 150 days from February 24, 2026. While the baseline tariff has been temporarily reduced, the underlying trade tensions and the potential reimposition of elevated tariffs may continue to pose risks to global supply chains and economic relations. Historically, tariffs have led to increased political tensions, between not only the United States and China, but also between the United States and other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but not limited to, U.S. and China trade policies,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w:t>
      </w:r>
    </w:p>
    <w:p>
      <w:pPr>
        <w:spacing w:after="0" w:line="19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Additionally, reduction in or suspension of certain federal research grants may negatively affect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Development, and Commercialization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of our product candidates/programs are in preclinical or early-stage clinical development. We have not yet completed any pivotal clinical trials, obtained regulatory approvals, manufactured a commercial scale product (or arranged for a third party to do so on our behalf), or conducted sales and marketing activities necessary for successful commercialization of any of our product candidates. Aside from EIK1001, which is our most advanced product candidate currently being evaluated in a Phase 2/3 registrational trial in combination with pembrolizumab for the treatment of patients with advanced melanoma, as well as a Phase 2 trial and Phase 2/3 registrational trial (for which we recently initiated site selection) in combination with pembrolizumab and chemotherapy for the treatment of patients with NSCLC, all of our other development programs are either in early-stage clinical development, or will need to progress through IND-enabling studies and receive authorization from the FDA or a comparable foreign regulatory authority to proceed under an IND or other submission prior to initiating clinical development. We may not be able to file INDs or other submissions for any of our preclinical product candidates on the timelines we expect, or at all. Even if we submit an IND or other submission for a product candidate, the FDA or a comparable foreign regulatory authority may not clear the IND or other submission and allow us to begin clinical trials in a timely manner, or at all. The timing of submissions of INDs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 Furthermore, the recent turnover at the FDA under the current presidential administration could lead to further delays and unpredictability in FDA’s clinical development and/or regulatory approval processes, which could adversely affect our ability to advance the development of our product candidates/programs.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candidates/programs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to conduct additional clinical trials;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have the product removed from the market after obtaining marketing approval.</w:t>
      </w:r>
    </w:p>
    <w:p>
      <w:pPr>
        <w:spacing w:after="0" w:line="329"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may be unable to commercialize our product candidates or any of our future product candidates on a timely basis, or at all.</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All of our product candidates are either in preclinical or early clinical development, except for EIK1001, which is currently being evaluated in a Phase 2/3 registrational trial in combination with pembrolizumab for the treatment of patients with advanced melanoma, as well as a Phase 2/3 trial in which we recently initiated site selection, in combination with pembrolizumab and chemotherapy for the treatment of patients with NSCLC. The risk that our product candidates fail to proceed successfully through clinical development is high. We expect it could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IND and/or protocols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 Furthermore, the recent turnover at the FDA under the current presidential administration could lead to further delays and unpredictability in FDA’s regulatory approval process, which could adversely affect our ability to advance the development of our product candidates.</w:t>
      </w:r>
    </w:p>
    <w:p>
      <w:pPr>
        <w:spacing w:after="0" w:line="19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Where possible, we are conducting our own clinical trials rather than outsourcing them to CROs. Although we believe that this strategic decision has benefits, as an organization, we have not completed any clinical trials. Accordingly, our decision to conduct our own clinical trials may enhance the risks described in this risk factor.</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CROs and clinical trial sites to ensure the proper and timely conduct of our clinical trials, including the participant enrollment process, and we have limited influence over their performance. We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72" w:lineRule="exact"/>
        <w:rPr>
          <w:sz w:val="20"/>
          <w:szCs w:val="20"/>
          <w:color w:val="auto"/>
        </w:rPr>
      </w:pPr>
    </w:p>
    <w:p>
      <w:pPr>
        <w:ind w:left="1020" w:right="2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Institutional Review Boards, or IRBs, or Ethics Committees, or ECs, may impose additional requirements before permitting us to initiate a clinical trial, may not authorize us or our investigators to commence or conduct a clinical trial at a prospective trial site, may not allow us to amend trial protocols, or may require that we modify or amend our clinical trial protocols;</w:t>
      </w:r>
    </w:p>
    <w:p>
      <w:pPr>
        <w:spacing w:after="0" w:line="71"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trial sites and CROs, the terms of which can be subject to extensive negotiation and may vary significantly;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 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for a clinical trial;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or quality of product candidates, or of components of product candidates, or materials or other supplies necessary for the conduct of preclinical studies or clinical trials may be inadequate to complete such study or trial;</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events during the conduct of clinical trials and/or occurrence of adverse events at greater frequency or severity than we anticipate, which could lead the FDA or comparable foreign regulatory authorities to place our clinical trials on clinical hold, cause an IRB to terminate its approval of our clinical trials, or cause us to decide to terminate our trials due to safety concerns;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 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have a negative impact on our ability to complete such trials or include results from such trials in regulatory submissions, which could adversely affect our ability to advance the development of our product candidates.</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by the FDA, or terminated by us, the IRBs of the institutions where such trials are being conducted, the FDA or comparable foreign regulatory authorities, or if a clinical trial is recommended for suspension or termination by a data safety monitoring board or data monitoring committee, for such trial. A suspension or termination may be imposed due to a number of factors, including failure to conduct the clinical trial in accordance with regulatory requirements or our clinical protocols, failure by us or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Even if our clinical trials are completed successfully, the FDA or comparable foreign regulatory authorities may determine that they do not adequately establish the safety and effectiveness of our products required for approval, or permit delineation of practices required for the safe use of our products.</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may also conduct preclinical and clinical research in collaboration with academic, pharmaceutical, and biotechnology entities in which we combine our development efforts with those of our collaborators. Such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collaborations may be subject to additional delays because of the management of the trials, contract negotiations, or the need to obtain agreement from multiple parties, and may increase our future costs and expenses.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28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or if regulatory approval we do obtain is limited, our business will be substantially harmed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the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 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spacing w:after="0" w:line="18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biologics license application, or BLA, from the FDA, or similar marketing application in another jurisdiction. The FDA and other comparable foreign regulatory authorities may delay, limit, or deny approval of our product candidates for many reasons, including:</w:t>
      </w:r>
    </w:p>
    <w:p>
      <w:pPr>
        <w:spacing w:after="0" w:line="81" w:lineRule="exact"/>
        <w:rPr>
          <w:sz w:val="20"/>
          <w:szCs w:val="20"/>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or other comparable foreign regulatory authorities that a proposed product candidate is safe and effective for any indication;</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number, design, size, conduct, or implementation of our clinical trials;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find the data from preclinical studies and clinical trials sufficient to demonstrate that the benefits of any of our product candidates outweigh their safety risks;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 or may not accept data generated at our clinical trial sites;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conclude that our studies were not conducted in accordance with GCP requirements or may otherwise question the integrity of the data generated from those clinical trials;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0" w:name="page101"/>
    <w:bookmarkEnd w:id="100"/>
    <w:p>
      <w:pPr>
        <w:spacing w:after="0" w:line="86" w:lineRule="exact"/>
        <w:rPr>
          <w:sz w:val="20"/>
          <w:szCs w:val="20"/>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any of our product candidates may not be sufficient to support the submission of applications for regulatory approval;</w:t>
      </w:r>
    </w:p>
    <w:p>
      <w:pPr>
        <w:spacing w:after="0" w:line="53"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and foreign regulatory authorities may require a risk management plan, or RMP, as a condition of approval for new products, among other additional requirements;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identify deficiencies in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change their approval policies or adopt new regulations;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simultaneous approval for both adults and for children and adolescents, which may delay approval, or we may have successful clinical trial results for adults but not for children and adolescents, or vice versa.</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 Furthermore, the recent turnover at the FDA under the current presidential administration could lead to further delays and unpredictability in FDA’s regulatory approval process, which could adversely affect our ability to advance the development of our product candidates.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may impose risk mitigation requirements, such as the implementation of a REMS, RMP, or comparable foreign risk management approaches, which may include significant limitations on distribution or use of our product candidates, if approved. The FDA or comparable foreign regulatory authorities may not accept the labeling claims that we believe would be necessary or desirable for the successful commercialization of our product candidates.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the conduct of clinical trials, manufacturing and marketing authorizations, pricing and third-party reimbursement, and may in the future become subject to additional requirements.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delays or difficulties enrolling or retaining patients in clinical trials, our clinical development activities could be delayed or otherwise adversely affected, which could adversely affect our business, financial condition, results of operations, and prospects.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time required to conduct and complete clinical trials, is affected by many factors, including:</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combination study with another product, the ability of such product to be used as a combination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before trial completion;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adverse events or other safety issues that are unanticipated;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public health factors, including pandemics and other health crises, the effects of global economic conditions and volatility in the credit and financial markets, inflationary pressures, the ongoing conflict between Russia and Ukraine, the recent commencement of hostilities in Iran, and other geopolitical conditions.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approved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or lead to, a delay in the commencement or completion of clinical trials may also ultimately lead to the denial of regulatory approval of our product candidates.</w:t>
      </w:r>
    </w:p>
    <w:p>
      <w:pPr>
        <w:spacing w:after="0" w:line="2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 clinical trials of our current or future product candidates are not necessarily predictive of the results of later preclinical studies and clinical trials of our current or future product candidates. If we cannot replicate the positive results from preclinical studies and early-stage clinical trials of our current or future product candidates in our future clinical trials, we may be unable to successfully develop, obtain regulatory approval for, and commercialize our current or future product candidates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Even if our clinical trials satisfy clinical endpoints that regulatory authorities deem clinically meaningful, such regulatory authorities may still conclude that our product candidates have not met the required threshold to establish safety and effectiveness.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Phase 2 trial evaluating the effect of EIK1001 in combination with pembrolizumab and chemotherapy for the treatment of the NSCLC, as well as our Phase 1/2 trials evaluating EIK1003 and EIK1004, utilize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and physicians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may draw preliminary conclusions as part of our analyses of then- available data, which may change when more complete data analyses are available.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preliminary data we previously published. As a result, top-line data should be viewed with caution until the final data are available.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affect the value of the particular program, the approvability or commercialization of the particular product candidate or product, and our business in general. In addition, the information we choose to disclose publicly regarding a particular study or clinical trial is based on what is typically a significant volume of data and other information.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adversely affect our business, financial condition, results of operations, or prospects.</w:t>
      </w:r>
    </w:p>
    <w:p>
      <w:pPr>
        <w:spacing w:after="0" w:line="29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commencing and completing, or ultimately be unable to complete, the development and/or commercialization of our product candidates.</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clinical trials under any IND, which may lead to additional delays and increase the costs of our preclinical development programs.</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product candidates, including, but not limited to:</w:t>
      </w:r>
    </w:p>
    <w:p>
      <w:pPr>
        <w:spacing w:after="0" w:line="68" w:lineRule="exact"/>
        <w:rPr>
          <w:sz w:val="20"/>
          <w:szCs w:val="20"/>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ECs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preclinical studies or clinical trial contracts or clinical trial protocols with prospective CROs and prospective trial sites;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preclinical studies and clinical trials may be greater than we anticipate, and we may lack adequate funding to continue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meet their contractual obligations to us in a timely manner, or at all, or may fail to comply with regulatory requirements;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for various reasons, including a finding by us or by a Data Monitoring Committee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produce negative or inconclusive results, or have undesirable side effects or other unexpected characteristics, and we may decide, or our investigators, regulators, or IRBs/ECs may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require us, to conduct additional preclinical studies or clinical trials, or delay, halt, or abandon our development programs;</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our clinical trials may be negatively affected or delayed by changes to clinical trial protocols;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may be insufficient or inadequate and result in delays or suspension of our clinical trials; and</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crises or geopolitical conflict may increase the likelihood that we encounter such difficulties or delays in initiating, enrolling, conducting, or completing our planned clinical trials.</w:t>
      </w:r>
    </w:p>
    <w:p>
      <w:pPr>
        <w:spacing w:after="0" w:line="16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Delays, including delays caused by the above factors and other factors described in this section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can be costly and could negatively affect our ability to complete preclinical studies or clinical trials or obtain timely marketing approvals. We do not know whether any of our planned preclinical studies or clinical trials will begin on or be completed on a timely basis, or at all. For example, the FDA or comparable foreign regulatory authorities may place a partial or full clinical hold on any of our clinical trials for a variety of reasons, including safety concerns or failure to comply with regulatory requirements. If we are not able to complete successful clinical trials, we will not be able to obtain regulatory approval and will not be able to commercialize our product candidates.</w:t>
      </w:r>
    </w:p>
    <w:p>
      <w:pPr>
        <w:spacing w:after="0" w:line="184"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which may impair our ability to successfully commercialize our product candidates and harm our business and results of operations.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Given our broad approach seeking to advance new important medicines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or any partners obtain marketing approval, as well as the manufacturing processes, post-approval clinical data, labeling, and advertising and promotional activities for such product candidate, will be subject to continual requirements of and review by the FDA and other regulatory authorities. These requirements include, but are not limited to, restrictions governing advertising and promotion of an approved product, requirements to report adverse events and other post-marketing information and reports, registration and listing requirements, the FDA’s current good manufacturing practices, or cGMPs, requirements relating to manufacturing, quality control, quality assurance, and corresponding maintenance of records and documents, and requirements regarding drug distribution and the distribution of samples to physicians and recordkeeping.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instance, even if marketing approval of a product candidate is granted, the FDA may impose requirements for costly post-marketing studies or clinical trials, and may require surveillance to monitor the safety or efficacy of a product, including the adoption and implementation of a REMS.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any of our partners,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 candidate’s approved labeling. Thus, we, and any partners, will not be able to promote any product candidates we develop for indications or uses for which they are not approved, or otherwise engage in any promotion that the FDA or comparable regulatory authorities would deem false or misleading.</w:t>
      </w:r>
    </w:p>
    <w:p>
      <w:pPr>
        <w:spacing w:after="0" w:line="183"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will be subject to periodic unannounced inspections by the FDA to monitor and ensure compliance with cGMPs.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a condition of approval of our product candidates, we may also be subject to requirements to conduct post-approval clinical trials, registrational studies, observational studies, or other post-approval studies. These studies must be conducted in accordance with protocols submitted to the FDA or comparable foreign regulatory authorities, and in accordance with time schedules agreed to with regulatory authorities.</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Accordingly, assuming we, or any partners, obtain marketing approval for one or more of our product candidates, we, our partners,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187"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as well as other federal and state agencies, including the Department of Justice, or DOJ,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false or misleading promotion, or promotion that otherwise establishes intended uses for which there are not adequate instructions in the FDA-approved label, and a company that is found to have improperly promoted its products may be subject to significant liability.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Violations of such requirements may lead to investigations alleging violations of the Federal Food, Drug, and Cosmetic Act and other statutes, including the civil False Claims Act, or FCA, and other federal and state healthcare fraud and abuse laws, as well as state consumer protection laws. Our failure to comply with all regulatory requirements, or later discovery of previously unknown adverse events or other problems with our products, manufacturers, or manufacturing processes, may yield various adverse outcomes, including:</w:t>
      </w:r>
    </w:p>
    <w:p>
      <w:pPr>
        <w:spacing w:after="0" w:line="81"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their manufacturers, or the manufacturing processes that were employed;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labeling or restrictions on the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recall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6" w:name="page107"/>
    <w:bookmarkEnd w:id="106"/>
    <w:p>
      <w:pPr>
        <w:spacing w:after="0" w:line="86"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partner with regulatory requirements, including safety monitoring or pharmacovigilance, and with requirements related to the development of our products, can also result in significant financial penalties.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if they do not achieve broad market acceptance, the revenue that we generate from their sales will be limited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and may in the future develop product candidates across a number of indications in oncology and neurologic disease. However, 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54" w:lineRule="exact"/>
        <w:rPr>
          <w:sz w:val="20"/>
          <w:szCs w:val="20"/>
          <w:color w:val="auto"/>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side effect profile, efficacy, tolerability, cost, and ease of administration of our product candidates, and any approved products we use as part of a combination treatment,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labeling as approved by the FDA or comparable foreign regulatory authorities, including potential limitations or warnings for such products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such product candidates or to which we agree as part of a mandatory REMS or RMP or voluntary risk management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8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target populations to try new product candidates and of physicians to switch their patients’ current standard of care;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28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and forecasts of market growth are subject to numerous uncertainties and may not be accurate, and the actual market for our product candidates may be smaller than we estimate. Even if the markets in which we compete achieve the forecasted growth, our business may not grow at similar rates, or at all.</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The estimates of our market opportunities included herein should not be taken as indicative of our ability to grow our business.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The total addressable market across all of our product candidates will ultimately depend upon, among other things, the eligibility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and drug pricing and reimbursement criteria.</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similar drugs before or more successfully than we do.</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supply, marketing, and sales resources or experience than we have. Such competitors could also recruit our employees, which could reduce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level of expertise and degrade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established companies. These third parties compete with us in recruiting and retaining qualified management and other personnel, establishing clinical trial sites, and enrolling participants in clinical trials, as well as in acquiring technologies complementary to, or necessary for, our programs.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foreign regulatory approval for their product candidates more rapidly than we do, which could result in our competitors establishing a strong market position before we are able to enter the market. Even if our product candidates achieve regulatory approval, they may be priced at a significant premium over competitive product candidates if any have been approved by then, resulting in reduced competitiveness. Moreover, technological advances or product candidates developed by our competitors may render our technologies, or product candidates we may develop in the future, obsolete, less competitive, or uneconomical.</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programs may be delayed and our expenses may increase.</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Also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9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safety risks, which could cause us to suspend or discontinue clinical trials, cause us to abandon a product candidate, delay or preclude approval, prevent market acceptance, require us to conduct product recalls, limit the commercial profile of an approved label, cause regulatory authorities to withdraw product approvals, or result in other significant negative consequences that could severely harm our business, results of operations, financial condition, and prospects.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current product candidates, including EIK1001, EIK1003, EIK1004, EIK1005, EIK1006, and any future product candidates, are both safe and effective for use in such product candidate’s target indication.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prevalence or severity of side effects, or other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adverse events or other side effects not observed in our preclinical studies or previous clinical trials, or experience known side effects with greater severity or frequency than anticipated. For example, serious treatment-related adverse events such as diarrhea, irregular heartbeat, hypotension, tachycardia, and vomiting have been observed in our Phase 1/2 trial for EIK1003.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deleteriously affect the success of our clinical trials.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the FDA, other comparable foreign regulatory authorities, or an IRB or EC may suspend clinical trials of a product candidate at any time for various reasons, including a belief that patients in such trials are being exposed to unacceptable health risks or adverse side effects. Even if the side effects do not preclude the product candidate from obtaining or maintaining marketing approval, undesirable side effects may inhibit market acceptance. Any of these developments could materially harm our business, financial condition, results of operations, and prospects.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implementation of distribution systems and processes that are highly controlled, restrictive, and more costly than what is typical for the industry. Other potentially significant negative consequences include:</w:t>
      </w:r>
    </w:p>
    <w:p>
      <w:pPr>
        <w:spacing w:after="0" w:line="7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recall it, or decide to remove the product from the marketplace,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studies or clinical trials to assess safety;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could prevent us from achieving or maintaining market acceptance of the affected product candidate, if approved by applicable regulatory authorities.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formulation, or analytical methods may result in additional costs or delay, which could adversely affect our business, financial condition, results of operations, and prospects.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 approval and future commercialization, it is common that various aspects of the development program, such as manufacturing methods, formulation or analytical methods, are adjusted to optimize processes and results. Any of these changes could cause our product candidates to perform differently, and thus affect the results of planned clinical trials or other future clinical trials conducted with the altered materials or utilizing different analytical methods. Such changes also may require additional testing, or notification to, or authorization by, the FDA or a comparable foreign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are also subject to risks associated with large-scale manufacturing for clinical trials, including, among others, cost overruns, potential problems with process scale-up, process reproducibility, stability issues, compliance with good manufacturing practices, lot consistency and the availability of raw materials. Even if we obtain marketing approval for any of our product candidates, there is no assurance that our third-party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collaborating with third parties overseas, including in China, conducting research and clinical trials abroad, and seeking to market our product candidates internationally, could materially adversely affect our business, financial condition, results of operations, and prospects.</w:t>
      </w:r>
    </w:p>
    <w:p>
      <w:pPr>
        <w:spacing w:after="0" w:line="6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collaborating with third parties and developing our product candidates globally.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with respect to data integrity;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and privacy requirements for the conduct of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to the patient at the relevant trial site abroad;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workforce uncertainty,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the FCPA, or comparable foreign regulations;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obtaining, maintaining, defending, and enforcing our contractual and intellectual property, especially in those foreign countries that do not respect and protect intellectual property, and other proprietary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obtaining any local supply of drugs or agents used with our product candidates, which are required by certain local clinical trial sites before conducting any study;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6" w:lineRule="exact"/>
        <w:rPr>
          <w:sz w:val="20"/>
          <w:szCs w:val="20"/>
          <w:color w:val="auto"/>
        </w:rPr>
      </w:pPr>
    </w:p>
    <w:p>
      <w:pPr>
        <w:ind w:left="1020" w:right="4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 or pandemics, or natural or man-made disasters, including earthquakes, tsunamis, fires, medical epidemics, or geo-political developments, including war and terrorism;</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local or international GCP regulations, including data integrity rules, leading to rejection of safety or effectiveness data by drug regulatory authorities;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local privacy or cybersecurity rules leading to prohibitions on data transfer.</w:t>
      </w:r>
    </w:p>
    <w:p>
      <w:pPr>
        <w:spacing w:after="0" w:line="22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EIK1001 was in-licensed from a Cayman Islands entity with significant operations in China. In addition, under the collaboration agreement, or the Impact Agreement, with Impact, a Chinese entity,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 Pursuant to the Impact Agreement, Impact conducts clinical trials for EIK1003 and EIK1004 in these regions. The U.S. government has recently made statements and taken certain actions that may lead to potential changes to U.S. and international trade policies, including imposing several rounds of tariffs and export control restrictions affecting certain products manufactured in China, and most recently, proposing legislation that, if enacted, would restrict trade with certain Chinese companies that provide biopharmaceutical research, development, and manufacturing services. Recently,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On February 20, 2026, the U.S. Supreme Court ruled against the current presidential administration’s use of tariffs under the IEEPA. However, in response to the U.S. Supreme Court ruling, the current presidential administration imposed a new worldwide tariff under other legal authority, effective for 150 days from February 24, 2026. It is unknown whether and to what extent new tariffs, export controls, or other new laws or regulations will be adopted, or the effect that any such actions would have on us or our industry. Sustained uncertainty about, or the further escalation of, trade and political tensions between the United States and China could result in a disadvantageous research environment in China, particularly for U.S. based companies, including retaliatory restrictions that could hinder or potentially inhibit Impact’s ability to conduct clinical trials in China pursuant to the Impact Agreement or our ability to continue to collaborate with these Chinese or China-related entities to develop EIK1001, EIK1003, and EIK1004. If we are unable to continue to develop these product candidates due to new laws or regulations as a result of ongoing tension between the United States and China, it could have a material adverse effect on our business, financial condition, results of operations, and prospects.</w:t>
      </w:r>
    </w:p>
    <w:p>
      <w:pPr>
        <w:spacing w:after="0" w:line="19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September 2024 during the 118th Congress, the U.S. House of Representatives passed the BIOSECURE Act (H.R. 8333). This bill names certain Chinese companies as biotechnology companies of concern. The Senate advanced a substantially similar bill (S. 3558) but it did not pass. If these bills become law, or similar laws are passed, they would have the potential to severely restrict the ability of companies like ours to contract with certain Chinese biotechnology companies without losing the ability to contract with, or otherwise receive funding from, the U.S. government, and it is possible that some of our contractual counterparties could be impacted as well. Specifically, we and Impact contracted with Wuxi AppTec Co., Ltd., a Chinese entity named among the “biotechnology companies of concern” in certain drafts of the BIOSECURE Act, for certain manufacturing and development activities, including select in vivo pharmacology studies, chemistry, manufacturing, and controls activities, and nonclinical testing. Further, we continue to utilize EIK1001, EIK1003, EIK1004, and EIK1005 clinical supply for their respective clinical studies, components of which include manufacturing, packaging, labeling, storage, and/or distribution services performed by Wuxi AppTec Co., Ltd. or its affiliates. As a result, if these bills become law, or similar laws are passed, we may need to seek alternative relationships for such activities. Such disruptions could have adverse effects on the development of our product candidates and our business operations.</w:t>
      </w:r>
    </w:p>
    <w:p>
      <w:pPr>
        <w:spacing w:after="0" w:line="19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Such unfavorable government policies on international trade, including export controls, capital controls, or tariffs, may affect the cost of manufacturing our product candidates, the demand for our product candidates (if and once approved), the competitive position of our product candidates, and import or export of raw materials and finished product candidate used in our and our collaborators’ preclinical studies and clinical trials.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conducting several clinical trials, and intend to conduct other future clinical trials, in a number of countries around the world.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29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any products that we may develop is subject to the FDA or comparable foreign regulatory authority approval process, and we must therefore contract with manufacturers who can meet our and all applicable FDA or comparable foreign regulatory authority requirements on an ongoing basis.</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any products that we may develop is subject to the FDA or comparable foreign authority approval process, and any CMOs with whom we forge contracts must meet all applicable FDA or comparable foreign regulatory authority requirements on an ongoing basis. If we or our CMOs are unable to reliably produce products in accordance with GMPs and to specifications acceptable to the FDA or comparable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authorities to produce it in sufficient quantities to meet the requirements for the potential launch of the product or to meet potential future demand. Our manufacturing activities are subject to ongoing, unannounced inspections by the FDA and comparable regulatory authorities.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operating restrictions, and criminal prosecutions), delay approval of our product candidates, impair commercialization efforts, or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build, or install equipment, all of which would require additional capital expenditures.</w:t>
      </w:r>
    </w:p>
    <w:p>
      <w:pPr>
        <w:spacing w:after="0" w:line="19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rely on third-party CMOs to manufacture and supply drug substance and drug product for our clinical trials for EIK1001, EIK1003, EIK1004, and EIK1005, and we expect to rely on third-party CMOs for our future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9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our product candidates ourselves,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issues experienced by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reduce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 as would be the time required to effect a satisfactory, compliant transfer of the manufacturing process to a new CMO.</w:t>
      </w:r>
    </w:p>
    <w:p>
      <w:pPr>
        <w:spacing w:after="0" w:line="192"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spacing w:after="0" w:line="17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injunctions, and other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 product seizure, detention, recall, operating restrictions, suits under the FCA, corporate integrity agreements, consent decrees, or withdrawal of product approval.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exploring and may in the future continue to explore the use of certain of our product candidates in combination with other therapies. For example, we are evaluating in a Phase 2/3 registrational trial the effect of EIK1001 in combination with pembrolizumab for the treatment of patients with advanced melanoma, and in a Phase 2 trial, as well as a Phase 2/3 registrational trial for which we recently initiated site selection, of EIK1001 in combination with pembrolizumab and chemotherapy for the treatment of patients with NSCLC. As such,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payors. The occurrence of any of these risks could result in our product candidates, if approved, being removed from the market or being less successful commercially. If we are unable to use pembrolizumab in our current combination trials for EIK1001, we may be required to enroll additional patients at existing sites or identify new trial sites. As a result, our clinical development activities could be delayed or otherwise adversely affected, which could adversely affect our business, financial condition, results of operations, and prospects.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our ability to develop and ultimately commercialize our product candidates in combination with other therapies will depend on our ability to access such therapies on commercially reasonable terms for the clinical trials, and their availability for use with the commercialized product, if approved. We cannot be certain that our contractual relationship with MSD or any potential future commercial relationships will provide us with a steady supply of such therapies on commercially reasonable terms or at all. In the event that MSD or any other collaborator or supplier cannot continue to supply their products on commercially reasonable terms, we would need to identify alternatives for accessing such products. Additionally, should the supply of pembrolizumab be interrupted, delayed, or otherwise be unavailable to us,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seek, obtain, and maintain patent and other intellectual property protection in the United States and other countries for our product candidates and their uses, as well as our ability to operate without infringing, misappropriating, or otherwise violating the intellectual property and proprietary rights of others. We seek to protect our proprietary position by filing patent applications in the United States and abroad related to our novel discoveries and technologies that are important to our business, and in-licensing similar rights. Our ability to stop unauthorized third parties from making, using, selling, offering to sell, or importing our product candidates is dependent upon the extent to which we have rights under valid and enforceable patents or trade secrets that cover these activities. The risks associated with patent rights generally apply to patent rights that we in-license now or in the future, as well as patent rights that we may own now or in the future. While we in-licensed certain issued patents related to EIK1001 from Seven and Eight, none of the patent applications we own or in-license in connection with EIK1003, EIK1004, EIK1005, or EIK1006 have issued yet, and there is no assurance that any such patent applications will issue at all or in a manner that provides us with any competitive advantage. In addition, the chemical structure of EIK1001 is in the public domain. Accordingly, we are unable to</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obtain any composition of matter patents claiming the composition of matter of EIK1001 as a sole active ingredient. We in-licensed patent applications relating to methods of using EIK1001 to treat certain indications, crystal forms of EIK1001, and a Patent Cooperation Treaty, or PCT, application relating to dosing of EIK1001, however, there is no assurance that these applications will issue or, even if they are issued, will be sufficient to prevent others from developing products that compete with EIK1001. Moreover, we or our licensors have also filed PCT and provisional patent applications related to EIK1001, EIK1003, EIK1004, EIK1005, and EIK1006, and none of our owned or in-licensed provisional or PCT patent applications are eligible to become an issued patent until, among other things, we or our licensors, as applicable, file a non-provisional patent application within 12 months of the filing date of the applicable provisional patent application, or file national stage applications based on the applicable PCT applications. Any failure to file a non-provisional patent application or a national stage application based on a PCT application could cause us to lose the ability to obtain patent protection for the inventions disclosed in the associated provisional patent application or PCT application. Moreover, we cannot assure you that our owned and in-licensed pending patent applications will issue, or that any future issued patents will afford sufficient protection of our product candidates (including EIK1001, EIK1003, EIK1004, EIK1005, and EIK1006)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Obtaining, maintaining, and enforcing intellectual property, particularly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In these instances, we may not be able to prevent third parties from using our technology that has appeared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specific method-of-use. In particular, composition of matter patent claims covering the active pharmaceutical ingredient, or API, in pharmaceutical drug products are generally considered to be the favored form of intellectual property protection for drug products, because such patents provide protection without regard to any particular method of use or manufacture or formulation or dosing of the API used. However, we only have issued patents directed to the composition of matter of EIK1001 in combination with one or more other substances. Further, we cannot be certain that the claims in our pending or future owned or in-licensed patent applications directed to the composition of matter of our other product candidates will be considered patentable by the United States Patent and Trademark Office, or the USPTO, or by patent offices in foreign countries, or that the claims in any of our current or future owned or in-licensed issued patents will be considered valid and enforceable by courts in the United States or foreign countries. Method-of-use patent claims protect the use of a product in the methods claimed in the patents, and dosing patent claims cover dosing regimens of the API or a formulation thereof. These types of patent claims do not prevent a competitor or other third party from making and marketing a product, including an API, that is identical to our product candidates for an indication that is outside the scope of the method-of-use claims, or from developing an identical product with a different dosing regimen that is outside the scope of the dosing claim. Moreover, with respect to method-of-use patents, even if competitors or other third parties do not actively promote their product for our targeted indications or uses for which we may obtain patents, clinicians may prescribe these products “off-label,” or patients may acquire them and use them in such manner themselves. Although off-label use may infringe or contribute to the infringement of method-of-use patents, the practice is common and such infringement is difficult to prevent or prosecute.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current and future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pending patent applications, and those of any collaborators or licensors, may be challenged in the courts,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USPTO. Such submissions may also be made prior to a patent’s issuance, precluding the granting of a patent based on one or more of our owned or licensed pending patent applications. In addition,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For example, our European patent EP 3166976 B2, which is directed to pharmaceutical combinations relating to EIK1001, was opposed before the European Patent Office. The opposition, which was filed in November 2022, has concluded without the need for an oral hearing. The Opposition Division issued its Interlocutory Decision in October 2025 maintaining our patent in amended form.</w:t>
      </w:r>
    </w:p>
    <w:p>
      <w:pPr>
        <w:spacing w:after="0" w:line="197"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 or result in our inability to manufacture or commercialize our product candidates, if approved, without infringing third-party patent rights.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they are unchallenged, our current or future owned or licensed patent rights may not provide us with any meaningful protection or prevent competitors from designing around our patent claims to circumvent our owned or licensed patent rights by developing similar or alternative technologies in a non-infringing manner. For example,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third party may develop a competitive product that provides benefits similar to one or more of our product candidates but falls outside the scope of our patent protection. If the patent protection provided by our owned or licensed patent rights is not sufficiently broad to impede such competition, our ability to successfully commercialize our product candidates, if approved, could be negatively affected, which could have a material adverse effect on our business, financial condition, results of operations, and prospects.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 See the risk factor in this Annual Report titled “—</w:t>
      </w:r>
      <w:r>
        <w:rPr>
          <w:rFonts w:ascii="Times New Roman" w:cs="Times New Roman" w:eastAsia="Times New Roman" w:hAnsi="Times New Roman"/>
          <w:sz w:val="18"/>
          <w:szCs w:val="18"/>
          <w:i w:val="1"/>
          <w:iCs w:val="1"/>
          <w:color w:val="auto"/>
        </w:rPr>
        <w:t>If we are unable to protect the confidentiality of our trade secrets,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position would be harmed.</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or our licensors’ pending patent applications will issue, or that patents that issue in the future will not be challenged and rendered invalid or unenforceable.</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many patent applications in our portfolio; however, we cannot predict:</w:t>
      </w:r>
    </w:p>
    <w:p>
      <w:pPr>
        <w:spacing w:after="0" w:line="68"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issued patent will provide protection against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or</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will result in issued patents with claims that cover each of our product candidates, or uses thereof, in the United States or in other foreign countries.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or otherwise involved in, various priority, validity, inventorship, ownership, and enforceability disputes, including third-party pre-issuance submissions of prior art to the USPTO or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require us to obtain licenses from third parties, which may not be available on commercially reasonable terms or at all,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current or future owned or licensed patents and patent applications is threatened, regardless of the outcome, it could dissuade companies from collaborating with us to license, develop, or commercialize current or future product candidates.</w:t>
      </w:r>
    </w:p>
    <w:p>
      <w:pPr>
        <w:spacing w:after="0" w:line="19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may rely on more than one patent to provide multiple layers of patent protection for our product candidates. If the latest-expiring patent is invalidated or held unenforceable, in whole or in part, the overall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protection for the product candidate may be adversely affected. For example, if the latest-expiring patent is invalidated, the overall patent term for our product candidate could be adversely affected.</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or our licensors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or our licensors were the first to make the inventions claimed in our current and future owned and licensed patents or pending patent applications, or that we or our licensors were the first to file for patent protection of such inventions.</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our patent rights protecting such product candidates might expire before or shortly after such product candidates are commercialized. As a result, our intellectual property may not provide us with sufficient rights to exclude others from commercializing products similar or identical to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any current or future patents owned or licensed by us are invalid, unenforceable, or not infringed. In these circumstances, we may need to defend or assert our patent rights, or both, including by filing lawsuits alleging patent infringement. In any of these types of proceedings, a court or other agency with jurisdiction may find such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some of our patent rights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current and any future product candidates on acceptable terms.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Because some of our programs may involve additional product candidates that may require the use of intellectual property or proprietary rights held by third parties, the growth of our business may depend in part on our ability to acquire, in-license, or use these intellectual property or proprietary rights. Our product candidates also may require specific formulations to work effectively, and these rights may be held by others. We may be unable to acquire or in-license any compositions, methods of use, processes, or other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or we may have to abandon development of our product candidates.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p>
    <w:p>
      <w:pPr>
        <w:spacing w:after="0" w:line="19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and governmental authorities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the additional product candidates that we may seek to acquire, including on terms that would allow us to make an appropriate return on our investment. If we are unable to successfully obtain rights to required third-party intellectual property or maintain the existing intellectual property rights we have licensed, we may be required to expend significant time and resources to redesign our product candidates or technology, or to develop or license replacement technology, all of which may not be feasible on a technical or commercial basis, and we may have to abandon development of our product candidates or technology.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licensed from third parties may be subject to retained rights.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Third parties who have collaborated with us by contributing intellectual property or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 Dole Act also provides federal agencies with “march-in rights.” March-in rights allow the government, in specified circumstances,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26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 drug development efforts and prevent us from commercializing, or increase the costs of commercializing, our products.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absolutely comprehensive, nor can we be certain that we have identified each and every third-party patent and pending application in the United States and abroad that is relevant to our research and other operations, or necessary for the commercialization of our product candidates in any jurisdiction. If a patent holder believes the manufacture, use, sale, or importation of our product candidates, if approved, infringes its patent, the patent holder may sue us even if we have licensed other patent protection for our technology. Moreover, we may face patent infringement claims from nonpracticing entities that have no relevant product revenue and against whom our current, or future, patent portfolio, whether owned or licensed, may therefore have no deterrent effect.</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Numerous U.S. and foreign patents and pending patent applications exist in our market, and markets we may enter in the future, that are owned by third parties. For example, we are aware of third-party patents and patent applications that relate to selective PARP1 inhibitors. A third party may seek to assert such patents against us. While we believe we would have valid defenses in connection with any such assertion, in the event our defenses were unsuccessful, we could lose our ability to develop and commercialize our product candidates, even if approved; be required to obtain a license; lose our competitive position; and/or be subject to significant liability for damages. Defense of any such claims, regardless of their merit, would also likely impose substantial litigation expenses and business interruption arising from the diversion of employee resources from our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90"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In addition, we may be unaware of one or more issued patents or patent applications that would be infringed by the manufacture, sale, or use of our product candidates, if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approved, or we may incorrectly conclude that a third-party patent is invalid, unenforceable, or not infringed by our activities.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and the ability of our current and future collaborators, to operate without infringing, misappropriating, or otherwise violating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and complex litigation regarding patents and other intellectual property rights. Third parties may assert that we are employing their proprietary technology without authorization, and may sue us for patent or other intellectual property infringement, misappropriation, or other violations, or subject us to other adversarial proceedings or litigation, regardless of merit.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19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consummate licensing arrangements, or to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candidate, if approved.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29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are unpredictable and generally expensive and time-consuming. Competitors or other third parties may infringe, misappropriate, or otherwise violate our patents, trademarks, or other intellectual property, or those of our collaborators or licensing partners, or we may be required to defend against claims of infringement, misappropriation, or other violations. In addition, our owned and licensed patent rights also may in the future become involved in inventorship, priority, ownership, or validity disputes. To counter infringement or unauthorized use claims (which may require us to file infringement claims) and to defend against claims that our or our licensor’s intellectual property are invalid or unenforceable can be expensive and time consuming, and divert the time and attention of our management and scientific personnel. Our owned and licensed pending patent applications cannot be enforced against third parties practicing the technology claimed in such applications unless and until a patent issues from such applications. Any claims we, or one of our licensors,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Third parties also may raise similar claims before administrative bodies in the United States or abroad, even outside the context of litigation. Any future patent-related proceedings could result in the revocation or cancellation of, or amendment to, our owned and licensed patent rights, in such a way that they no longer cover our product candidates, or prevent third parties from competing with our product candidates. The outcome following legal assertions of invalidity and unenforceability is unpredictable. In any patent infringement proceeding, there is a risk that a court will decide that a patent of ours or that we otherwise rely on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or is otherwise exempted. In addition, the U.S. Supreme Court has in the past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may not be able to detect infringement against our current or future owned or in-licensed, patents, as the case may be, which may be especially difficult for manufacturing processes or formulation patents. Even if we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detect infringement by a third party of our current or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current or future owned or in-licensed patents against such third party.</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another party questions the patentability of any of our claims in our current or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current or future owned or in-licensed foreign patents are challenged and may be revoked or cancelled.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oppositions or similar proceedings could be substantial, and we may nevertheless fail in avoiding patent rights of others or having such rights revoked. 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intellectual property portfolios.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owned or licensed patent rights and other intellectual property, or claims asserting that our employees, consultants or advisors have wrongfully used or disclosed alleged trade secrets of their current or former employers.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 rights or other intellectual property, or those of our collaborators or licensors, as inventors or co-inventors, or other ownership rights.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and the outcome of such litigation is uncertain. If we fail in defending any such claims, in addition to paying monetary damages, we may lose valuable intellectual property rights, such as exclusive ownership of, or right to use, valuable intellectual property, which may in turn result in our inability to develop, manufacture, or commercialize, if approved, our product candidates and proprietary technology without infringing third-party patent rights. Such an outcome could adversely affect our business, financial condition, results of operations, and prospects. Even if we are successful in defending against such claims, litigation could result in substantial costs and could become a distraction to management and other employees. Alternatively, or additionally, we may enter into agreements to clarify the scope of our rights in such intellectual property. However, such agreements may be insufficient to provide us with all the rights we require to maintain our operations, and develop, manufacture, and sell our products and/or services.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academic partners,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ourselves, have used or disclosed intellectual property, including trade secrets or other proprietary information, of any such individual’s current or former employer without authorization.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if approved. Even if we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are successful in defending against such claims, litigation could result in substantial costs and be a distraction to management.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or our licensors may be unsuccessful in executing such an agreement with each party who, in fact, conceives or develops intellectual property that we or our licensors regard as our own. Moreover, any assignment of intellectual property rights may not be sufficient or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results of operations, and prospects.</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enforceability of our future patents throughout the world. See the risk factor in this Annual Report titled “—</w:t>
      </w:r>
      <w:r>
        <w:rPr>
          <w:rFonts w:ascii="Times New Roman" w:cs="Times New Roman" w:eastAsia="Times New Roman" w:hAnsi="Times New Roman"/>
          <w:sz w:val="18"/>
          <w:szCs w:val="18"/>
          <w:i w:val="1"/>
          <w:iCs w:val="1"/>
          <w:color w:val="auto"/>
        </w:rPr>
        <w:t>We use AI/ML to enable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 If we do not obtain patent term extension, or the foreign equivalent, for our product candidates, our business may be materially harmed.</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paid on time, the natural expiration of a patent is generally 20 years from its earliest U.S. non-provisional or international patent application filing date. Various extensions may be available, but in all cases,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product candidates are commercialized. As a result, any patents we may own or license may not provide us with sufficient and continuing rights to exclude others from commercializing products similar or identical to ours.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any issued U.S. patents that we may own or license may be eligible for limited patent term restoration, or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with supplemental protection certificates in Europe. Although all countries in the EU make available supplementary protection certificates if certain conditions are satisfied, there is no centralized EU procedure for obtaining them. Hence supplementary protection certificates must be applied for and granted on a EU member state-by-EU member state basis. This can lead to substantial costs in applying for and obtaining these certificates, which may vary among countries, or may not be provided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or a supplementary protection certificate based on a patent that we in-license from a third party, we would need the cooperation and consent of that third party. Moreover, the applicable time period of any term extension, or the scope of patent protection afforded, could be less than we request.</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the foreign equivalent, or if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have to be paid to the USPTO and various governmental patent agencies outside of the United States in several stages over the lifetime of our current, and future owned and licensed, patents and patent applications to retain them pending or in force. We rely on our outside counsel and/or other annuity service providers to pay these fees due to the USPTO and non-U.S. governmental patent agencies. The USPTO and various non-U.S. governmental patent agencies require compliance with a number of procedural, documentary, fee payment, and other similar provisions during the patent application process. We are also dependent on our licensors to take the necessary action to comply with these requirements with respect to certain of our licensed intellectual property. We employ reputable law firms and/or other service providers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could have a material adverse effect on our business, financial condition, results of operations, and prospects.</w:t>
      </w:r>
    </w:p>
    <w:p>
      <w:pPr>
        <w:spacing w:after="0" w:line="2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and other proprietary rights, particularly patents. Obtaining, defending, maintaining, protecting, and enforcing intellectual property and other proprietary rights, including patent rights, in the biopharmaceutical industry involves both technological and legal complexity, and is therefore costly, time consuming, and inherently uncertain. Changes in either the patent laws, or interpretation of the patent laws, in the United States and other countries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PGR, IPR, and derivation proceedings.</w:t>
      </w:r>
    </w:p>
    <w:p>
      <w:pPr>
        <w:spacing w:after="0" w:line="19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patent positions of companies engaged in the development and commercialization of pharmaceuticals are particularly uncertain. The U.S. Supreme Court has ruled on several patent cases in recent years, either narrowing the scope of patent protection available in certain circumstances, or weakening the rights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patent owners in certain situations. Depending on future actions by Congress, the U.S. courts, the USPTO, and the relevant law-making bodies in other countries, the laws and regulations governing patents could change in unpredictable ways that would weaken our ability to obtain, protect, and enforce new patents and patents that we might obtain or license in the future. For example, in the case, Assoc. for Molecular Pathology v. Myriad Genetics, Inc., the U.S. Supreme Court held that claims to certain DNA molecules are not patentable. In Amgen Inc. v. Sanofi, the Federal Circuit held that claims with functional language may pose high hurdles in fulfilling the enablement requirement. Recent decisions raise questions regarding the award of patent term adjustment, or PTA, for patents where related patents have issued without PTA. Thus, it cannot be said with certainty how PTA will or will not be viewed in future, and whether patent expiration dates may be affected. We cannot predict how future decisions by the courts, Congress, or the USPTO may alter the value of our patents. Any similar adverse change in the patent laws of other jurisdictions could also adversely affect our business, financial condition, results of operations, and prospects.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separately or together weaken our ability to obtain new patents or to enforce patents that we have licensed or that we may obtain in the future. For example, the complexity and uncertainty of European patent laws have both increased in recent years. In Europe, in June 2023, a new Unitary Patent system was introduced, which significantly affects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which, if successful, could invalidate the patent in all countries that are signatories to the UPC. We cannot predict with certainty the long-term effects of the new Unitary Patent system.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Competitors or third parties could attempt to replicate some or all of the competitive advantages we derive from our development efforts,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Any independent development by others of our trade secrets, or knowledge of them by others through other means, would also likely result in such information losing trade secret status. If a competitor independently develops a technology that we protect as a trade secret and files a patent application on that technology, then we may not be able to patent that technology in the future and we may require a license from the competitor to use our own know-how. If the license is not available on commercially viable terms, then we may not be able to launch our product candidate.</w:t>
      </w:r>
    </w:p>
    <w:p>
      <w:pPr>
        <w:spacing w:after="0" w:line="19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Monitoring unauthorized uses and disclosures is difficult, and we do not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technology. If our trade secrets are not adequately protected, our business, financial condition, results of operations, and prospects could be adversely affected.</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brand and name recognition in our markets of interest and our business may be adversely affected.</w:t>
      </w:r>
    </w:p>
    <w:p>
      <w:pPr>
        <w:spacing w:after="0" w:line="51"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Our current or future registered or unregistered trademarks or trade names may be challenged, infringed, circumvented, declared merely descriptive or generic, or determined to be infringing on other marks. The use of registered and unregistered marks may also be limited by certain agreements with third parties. Our current and future trademark applications in the United States and in foreign jurisdictions may not be allowed or may subsequently be opposed.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w:t>
      </w:r>
    </w:p>
    <w:p>
      <w:pPr>
        <w:spacing w:after="0" w:line="1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the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enhance brand and name recognition among potential partners or future customers in our markets of interest. As a means to enforce our trademark rights and prevent infringement, we may be required to file trademark claims against third parties, or initiate trademark opposition proceedings. This can be expensive and time-consuming, particularly for a company of our size.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current or future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or utilize similar technology but that are not covered by the claims of patent applications that we own or license, or any issued patents that we may own or license;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be the first to make the inventions covered by the issued patents or patent application that we may own or license;</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be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current or future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own or license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jc w:val="both"/>
        <w:ind w:left="1020" w:right="240" w:hanging="503"/>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or other intellectual property rights and then use the information learned from such activities to develop competitive products for sale in our major commercial markets;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maintain and protect our intellectual property rights throughout the world.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filing patent applications in foreign jurisdictions remains possible for our provisional applications and patent applications filed under PCT, the filing, prosecuting, and defending of patents covering our product candidates in all countries throughout the world would be prohibitively expensive, and our intellectual property rights in some countries outside the United States can have a different scope and strength than those in the United States. In some cases, we or our licensors may not be able to obtain patent protection at all for certain product candidates and technology outside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where enforcement is not as strong as that in the United States. These products may compete with our product candidates in jurisdictions where we or our licensors do not have any issued patents, and our patent claims or other intellectual property rights may not be sufficient to prevent them from competing.</w:t>
      </w:r>
    </w:p>
    <w:p>
      <w:pPr>
        <w:spacing w:after="0" w:line="16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if pursued and obtained,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spacing w:after="0" w:line="7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growth of our business depends substantially on the intellectual property and other proprietary rights we in-license from third parties. For example, we have entered into license and collaboration agreements with Seven and Eight and Impact to license certain intellectual property and other proprietary rights relating to our product candidates EIK1001, EIK1003, and EIK1004. Our programs may involve additional product candidates that may require the use of other intellectual property and proprietary rights held by third parties, as may further development and commercialization of our existing product candidates, if approved. For example, we may develop products containing other pre-existing compounds. These compounds may be covered by intellectual property rights held by others. Thus, we may in the future enter into additional license, collaboration, and other similar agreements with third parties under which we receive rights to other intellectual property and proprietary rights that are important to our business, or we may otherwise acquire such rights. We may fail to obtain any of these licenses or rights on commercially reasonable terms, if at all. Even if we are able to obtain a license, it may be non-exclusive, thereby giving our competitors access to the same technologies licensed to us. Alternatively, our current and future licenses may not provide us with exclusive rights to use such intellectual property and technology in all relevant fields of use and in all territories in which we may wish to develop or commercialize our technology and product candidates, if approved.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Our success will depend in part on the ability of our licensors to obtain, maintain, and enforce patent protection for their intellectual property, in particular, those patents to which we have secured exclusive rights.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current license and collaboration agreements also impose on us various development, regulatory and/or commercial diligence obligations, payment of milestones, and other obligations. In particular, some of the milestone payments are payable upon our product candidates reaching development milestones before we have commercialized, or received any revenue from, sales of such product candidate, and we cannot guarantee that we will have sufficient resources to make such milestone payments. Any uncured, material breach under the license and collaboration agreements could result in our loss of exclusive rights, and may lead to a complete termination of our rights to the applicable product candidate. Any of the foregoing could have a material adverse effect on our business, financial conditions, results of operations, and prospects.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collaboration, and similar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were able to secure our own direct license with the owner of the relevant rights, which we may not be able to do on reasonable terms, or at all, which may impair our ability to continue to develop and commercialize our product candidates incorporating the relevant intellectual property, if approved.</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maintenance, prosecution, preparation, filing, enforcement, defense, or litigation of patents and patent applications (including designating one or more patents for extended terms, where such extensions are available) that we license from, or license to, third parties, and are reliant on our licensors or licensees to do so. We thus cannot be certain that activities such as patent maintenance and prosecution by our licensors or licensees have been or will be conducted consistent with our best interests, or in compliance with applicable laws and regulations, or will result in valid and enforceable patents and other intellectual property rights. It is possible that our licensors’ or licensees’ infringement proceedings or defense activities may be less vigorous than had we conducted them ourselves, or may not be conducted in accordance with our best interests. If our licensors or licensees fail to maintain such patents or patent applications, or lose rights to those patents or patent applications, the rights we have licensed may be reduced or eliminated, and our right to develop and commercialize our product candidates or any of our product candidates that are the subject of such licensed rights, in each case if approved, and our right to exclude third parties from commercializing competing products could be adversely affected. Any of the foregoing could have a material adverse effect on our business, financial condition, results of operations, and prospects.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spite of our efforts, our current and future licensors might conclude that we have materially breached our obligations under our license and collaboration agreements and might therefore terminate such agreements, thereby removing or limiting our ability to develop and commercialize product candidates, if approved, and technology covered by these license and collaboration agreements. Our license and collaboration agreements are, and future license and collaboration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or all of which could have a material adverse effect on our business, financial condition, results of operations, and prospects. Disputes may arise with respect to our current or future licensing and collaboration agreements and include disputes relating to:</w:t>
      </w:r>
    </w:p>
    <w:p>
      <w:pPr>
        <w:spacing w:after="0" w:line="8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or collaboration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or collaboration agreement;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product candidates infringe on intellectual property of the licensor that is not subject to the licensing arrangement;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or collaboration agreements and what activities satisfy those diligence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86" w:lineRule="exact"/>
        <w:rPr>
          <w:sz w:val="20"/>
          <w:szCs w:val="20"/>
          <w:color w:val="auto"/>
        </w:rPr>
      </w:pPr>
    </w:p>
    <w:p>
      <w:pPr>
        <w:ind w:left="1020" w:right="2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we are currently engaged in a payment-related dispute with Seven and Eight. Seven and Eight has alleged that it did not receive a payment we made to Seven and Eight as required by our collaboration agreement and thus such payment is still owed. Although we believe our payment was made in good faith, if we are unable to reach a mutually agreeable resolution to this matter with Seven and Eight, arbitration may be necessary. If this dispute or other disputes involving our license and collaboration agreements, including disputes over intellectual property or other proprietary rights that we license now or in the future, prevent or impair our ability to maintain our licensing arrangements on commercially reasonable terms, we may not be able to successfully develop and commercialize the affected product candidates, if approved, which would have a material adverse effect on our business. If our licenses are terminated, we may lose our rights to develop and market our technology and product candidates, lose patent protection for our product candidates and technology, experience significant delays in the development and commercialization of our product candidates, if approved, or incur liability for damages.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jointly own intellectual property with third parties. Under some circumstances, it may be difficult to determine who owns a particular invention or whether it is jointly owned, and disputes could arise regarding ownership, use, prosecution, maintenance, and enforcement. Such disputes with any third-party co-owners of our intellectual property may result in direct financial harm or distract our management from our operations or strategic goals, harming our business, prospects, financial condition, and results of operation.</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if approved.</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our agreements with third parties may limit or delay our ability to consummate certain transactions, may reduce the value of those transactions, or may limit our ability to pursue certain activities. For example, we may be a party to license, collaboration, or other similar agreements that are not assignable or transferable, or that require the licensor’s express consent in order for an assignment or transfer to take place. Any of the foregoing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product candidates, such product may become subject to unfavorable pricing regulations, third-party reimbursement practices, or healthcare reform initiatives, which could harm our business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2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product candidates, if approved, depends in part on the availability of coverage and adequate reimbursement from third-party payors, such as government authorities, private health insurers, and other organizations. We cannot be certain that coverage and reimbursement will be available for, or accurately estimate the potential revenue from, our product candidates or assure that coverage and reimbursement will continue to be made available for any product that we may develop that initially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which may result in significant variations in coverage and reimbursement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Further, even if favorable coverage and reimbursement status is attained for one or more drug products for which we receive regulatory approval, less favorable coverage policies and reimbursement rates may be implemented in the future. Patients are unlikely to use our products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For example, at the federal level, the Inflation Reduction Act, or the IRA, was signed into law in 2022 and set forth meaningful changes to drug product reimbursement by Medicare. The IRA, among other things, directs the Department of Health and Human Services, or HHS, to negotiate the price of certain high-expenditure, single-source drugs and biologics covered under Medicare, and subjects drug manufacturers to civil monetary penalties and a potential excise tax for failure to comply with or participate in the program. This program applies to drug products that have been approved for at least seven years and biologics that have been licensed for 11 years, with exceptions such as for certain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orphan-designated drugs for which the only approved indication (or indications) is for the orphan disease or condition. Should our product candidates be approved and covered by Medicare Part B or Part D, and fail to fall within a statutory exception such as that for an orphan drug, those products could, after a period of time, be selected for negotiation and become subject to “maximum fair prices” under the program. This could heighten the risk that we would not be able to achieve the expected return on our investment in drug products, or full value of our patents protecting our products, if prices are set under the program.</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IRA also establishes a rebate obligation for drug manufacturers that increase prices of Medicare Part B and Part D covered drugs at a rate greater than the rate of inflation. The inflation rebates may require us to pay rebates if we increase the cost of a product reimbursed by Medicare Part B or Part D faster than the rate of inflation. In addition, the law redesigned the Part D benefit, and our cost-sharing responsibility for any approved product covered by Medicare Part D could be significantly greater compared to the pre-IRA benefit design. Additionally, manufacturers that fail to comply with certain provisions of the IRA may be subject to penalties, including civil monetary penalties.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negotiation provisions of the IRA are currently the subject of several legal challenges, and the outcome of that litigation is difficult to predict. In any event, the IRA is likely to have a significant impact on the pharmaceutical industry and may reduce the prices we can charge, and the reimbursement we can receive, for our products, among other effects. If healthcare policies or reforms intended to curb healthcare costs are adopted, the prices that we charge for any approved products may be limited, our commercial opportunity may be limited, and/or our revenues from sales of our products may be reduced.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8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business, results of operations, financial condition, and prospects.</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providers and physicians and third-party payors may be subject to applicable anti-kickback, fraud and abuse, transparency, health privacy,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healthcare fraud and abuse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practices, certain customer incentive programs, and other business arrangements generally. Activities subject to these laws also involve the improper use of information obtained in the course of patient recruitment for clinical trials, which could result in regulatory sanctions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and serious harm to our reputation. The applicable federal, state, and foreign healthcare laws and regulations that may affect our ability to operate include, but are not limited to:</w:t>
      </w:r>
    </w:p>
    <w:p>
      <w:pPr>
        <w:spacing w:after="0" w:line="54" w:lineRule="exact"/>
        <w:rPr>
          <w:sz w:val="20"/>
          <w:szCs w:val="20"/>
          <w:color w:val="auto"/>
        </w:rPr>
      </w:pPr>
    </w:p>
    <w:p>
      <w:pPr>
        <w:ind w:left="1020" w:right="60" w:hanging="503"/>
        <w:spacing w:after="0" w:line="255"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80" w:hanging="503"/>
        <w:spacing w:after="0" w:line="254"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80"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1"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that may be used in the calculation of reimbursement or discounts on approved products;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9"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86" w:lineRule="exact"/>
        <w:rPr>
          <w:sz w:val="20"/>
          <w:szCs w:val="20"/>
          <w:color w:val="auto"/>
        </w:rPr>
      </w:pPr>
    </w:p>
    <w:p>
      <w:pPr>
        <w:ind w:left="1020" w:right="80"/>
        <w:spacing w:after="0" w:line="266" w:lineRule="auto"/>
        <w:rPr>
          <w:sz w:val="20"/>
          <w:szCs w:val="20"/>
          <w:color w:val="auto"/>
        </w:rPr>
      </w:pPr>
      <w:r>
        <w:rPr>
          <w:rFonts w:ascii="Times New Roman" w:cs="Times New Roman" w:eastAsia="Times New Roman" w:hAnsi="Times New Roman"/>
          <w:sz w:val="18"/>
          <w:szCs w:val="18"/>
          <w:color w:val="auto"/>
        </w:rPr>
        <w:t>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68" w:lineRule="exact"/>
        <w:rPr>
          <w:sz w:val="20"/>
          <w:szCs w:val="20"/>
          <w:color w:val="auto"/>
        </w:rPr>
      </w:pPr>
    </w:p>
    <w:p>
      <w:pPr>
        <w:ind w:left="1020" w:right="2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significant fines,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 Further, if any of the physicians or other healthcare providers or entities with whom we expect to do business is found not to be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seek approval for one or more of our product candidates under the FDA’s accelerated approval pathway. Under the accelerated approval pathway, the FDA may approve a product candidate for a serious or life-threatening disease or condition, which candidate has shown that it provides a meaningful therapeutic benefit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patients over existing treatments, based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Products granted accelerated approval are subject to certain additional post-marketing requirements. These typically include a requirement to conduct one or more post-approval studies to confirm the clinical benefit of the product, submission to the FDA during the pre-approval period of all promotional materials intended to be used within 120 days following marketing approval, and submission of promotional materials for use after that period at least 30 days prior to their dissemination. There can be no assurance that we will be able to use the accelerated approval pathway or any other form of expedited development, review, or approval for any of our product candidates. For example, the FDA may not agree with our conclusion that a surrogate endpoint we select is reasonably likely to predict clinical benefit, and thus the FDA may not agree that accelerated approval is appropriate based on that endpoint (even if the results on that endpoint are statistically significant). Also, for any one of our product candidates, if any of our competitors were to receive full approval for an indication for which we are seeking accelerated approval before we receive accelerated approval, our drug candidate may no longer provide meaningful therapeutic benefit over existing treatments, and our product candidate may become ineligible for accelerated approval.</w:t>
      </w:r>
    </w:p>
    <w:p>
      <w:pPr>
        <w:spacing w:after="0" w:line="19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failure to obtain accelerated approval would result in a longer time period to commercialization of such product candidate,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spacing w:after="0" w:line="2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 Breakthrough Therapy or Fast Track designation or priority review voucher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that disease or condition. Fast Track and Breakthrough Therapy designations apply to the combination of the product and the specific indication for which it is being studied.</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FDA also recently announced the Commissioner’s National Priority Voucher program, designed to accelerate the development and review of certain drugs and biological products that are aligned with U.S. national health priorities and to enhance the health interests of Americans. Companies selected for the program will be issued a priority review voucher entitling the company to benefits including enhanced communications and rolling review to allow for a shortened review time.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has broad discretion whether or not to grant Breakthrough Therapy or Fast Track designation or a priority review voucher to any product candidate. Accordingly, even if we believe that a product candidate meets the criteria for a Breakthrough Therapy or a Fast Track designation or a priority review voucher, the FDA may disagree and instead determine not to make such a designation. Even if we receive a Breakthrough Therapy or Fast Track designation or a priority review voucher, the receipt of such designation or voucher may not result in a faster development or regulatory review or approval process compared to drugs considered for approval under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conventional FDA procedures, and does not assure ultimate approval by the FDA. In addition, even if a product candidate qualifies as a Breakthrough Therapy or for the Fast Track program or for a priority review voucher, the FDA may later decide that it no longer meets the conditions for qualification or decide that the time period for FDA review or approval will not be shortened. The failure to obtain a Breakthrough Therapy or Fast Track designation or a priority review voucher for any product candidates we may develop, or the inability to maintain that designation for the duration of the applicable period, could reduce our ability to accrue sufficient sales of the applicable product candidate to balance the expenses incurred to develop it, which would have a negative impact on our operational results and financial condition.</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industry groups, have initiated lawsuits against the federal government asserting that the price negotiation provisions of the IRA are unconstitutional.</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drug and other healthcare programs. This could reduce the ultimate demand for our drugs or put pressure on our drug pricing, which could negatively affect our business, financial condition, results of operations, and prospects.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August 2, 2011, the Budget Control Act of 2011 was signed into law, which resulted in reductions to Medicare payments to providers of 2% per fiscal year, which went into effect on April 1, 2013, and, due to subsequent legislative amendments to the statute, will remain in effect through 2032.</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We cannot predict the likelihood, nature, or extent of healthcare reform initiatives that may arise from future legislation or administrative action.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expect our ex-U.S.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failure to comply with Trade Laws may result in substantial civil and criminal fines and penalties, imprisonment, the loss of trade privileges, suspension or debarment from government contracting, breach of contract and fraud litigation, reputational harm, and other consequences.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will be subject to numerous laws and regulations in each jurisdiction outside the United States in which we operate in the future. The creation, implementation, and maintenance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spacing w:after="0" w:line="18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can be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 Violations of the FCPA can result in significant civil and criminal penalties. The SEC also may suspend or bar issuers from trading securities on U.S. exchanges for violations of the FCPA’s accounting provisions.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adversely affect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research, engineering, and development efforts, and business operations, and/or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w:t>
      </w:r>
    </w:p>
    <w:p>
      <w:pPr>
        <w:spacing w:after="0" w:line="1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insurance to cover us for costs and expenses that we may incur due to injuries to our employees resulting from the use of hazardous materials and insurance for environmental liability or toxic tort claims that may be asserted against us in connection with our storage or disposal of biological or hazardous materials, these insurance plans may not provide adequate coverage against potential liabilities.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or our future compliance. 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2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adversely affect our business.</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the ability to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extend the time necessary for new drug development and for those new drugs to be reviewed or approved by necessary government agencies, which would adversely affect our business, financial condition, results of operations, and prospects. For example, over the last several years, the U.S. government has shut down several times, and certain regulatory agencies, such as the FDA, have had to furlough critical employees and stop critical activities. If a prolonged government shutdown occurs, or there are other changes which limit the FDA’s ability to perform its necessary activities in a timely manner, it could significantly reduce the ability of the FDA to review and process our regulatory submissions, which could have a material adverse effect on our business.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the current presidential administration has expressed an intention of, and undertaken efforts to, reduce the size and spending of the federal government. As part of this initiative, the current presidential administration established the Department of Government Efficiency, or DOGE, which is tasked with reducing government spending and increasing efficiency of the federal government and its component agencies. Since its establishment, DOGE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DOGE or the current presidential administration generally could be reduced resources, employees, and contractors at the FDA, which could significantly reduce the ability of the FDA to complete their review responsibilities, and hence could materially affect our ability to achieve timely registration of our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Information Technology, and Cybersecurity</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our business, we, and the third parties with whom we work, collect, receive, store, generate, use, transfer, disclose, make accessible, protect, secure, dispose of, transmit, share, and otherwise process,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and other proprietary information, which we collectively refer to as sensitive data. We also generate a substantial amount of sensitive data through our technology platform in the ordinary course of our business. As a result we, and the third parties with whom we work, face a variety of evolving threats which could cause security incidents or other disruptions. Cyberattacks, malicious internet-based activity, online and offline fraud, and other similar activities threaten the confidentiality, integrity, and availability of our sensitive data and information technology systems, and those of the third parties with whom we work. Therefore, it is critical that we and third parties with whom we work process sensitive data in a secure manner to maintain the confidentiality and integrity of such sensitive data and otherwise safeguard our information technology systems.</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and complexity of our information technology systems and those of our CROs, CMOs, clinical sites, and other contractors, consultants, and third parties with whom we work, and the increasing amounts of sensitive data that they maintain, such information technology systems are potentially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infiltration by unauthorized persons, fraud, supply chain attacks and vulnerabilities through our third-party service providers or otherwise, denial-of-service attacks, credential stuffing, credential harvesting, personnel misconduct or error, supply-chain attacks, software bugs, breakdown or other damage or interruption from service interruptions, system or server malfunctions, software or hardware failures, loss of data or other information technology assets, adware, attacks facilitated or enhanced by AI, telecommunications and electrical failures, earthquakes, fires, floods, other natural disasters, terrorism, war, and other similar threats. Such information technology systems are additionally vulnerable to security incidents or other disruptions from inadvertent or intentional actions by our employees, third-party vendors, contractors, consultants, business partners, and other third parties. The increase in remote work has increased these risks to our information technology systems and sensitive data, as more of our employees utilize network connections, computers, and devices outside our premises or network, including working at home, while in transit, and in public locations. Any of the foregoing may compromise or disable our system infrastructure, or that of our third-party vendors and other contractors and consultants, or lead to data leakage.</w:t>
      </w:r>
    </w:p>
    <w:p>
      <w:pPr>
        <w:spacing w:after="0" w:line="19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sophisticated, and severe, and can lead to significant interruptions, delays, or outages in our operations, loss of sensitive data, loss of income, significant extra expenses to restore data or systems, reputational loss, and the diversion of funds.</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times of war and other major conflicts, we and the third parties with whom we work may be vulnerable to a heightened risk of attacks for geopolitical reasons, including retaliatory cyberattacks, that could materially disrupt our systems and operations, including our supply chains, thereby degrading our ability to continue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research, engineering, and development efforts, or to produce, sell, and distribute our product candidates, if approved. In addition to experiencing a security incident or other disruption, third parties may gather, collect, or infer sensitive data about us from public sources, data brokers, or other means that reveal competitively sensitive details about our organization. These data could be used by third parties to undermine our competitive advantage or market position.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or other issues that were not found during due diligence of such acquired entities, and it may be difficult to integrate companies into our information technology environment and security program.</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It may be difficult or costly to detect, investigate, mitigate, contain, and remediate a security incident or other disruption. Our efforts to do so may not be successful. Actions taken by us or the third parties with whom we work to detect, investigate, mitigate, contain, and remediate a security incident or other disruption could result in outages, data losses, and disruptions of our business.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Threat actors may also gain access to other networks and systems after a compromise of our networks and systems.</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Moreover, we use a combination of in-house and third-party cloud services to store and manage the data we generate using our technology platform. If either cloud service is disrupted, it could result in the loss of proprietary data, which would require additional cost and time to recreate and have an adverse effect on our business, financial condition, results of operations, and prospects.</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partners could introduce new cybersecurity risks and vulnerabilities. We rely on third-party partners and technologies to operate critical business systems and to process sensitive data in a variety of contexts, including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breach, or other incident or failure, we could experience adverse consequences. Further, in such a circumstance, we may not receive timely notice of, or sufficient information about, the security incident, breach, or other incident or failure, or be able to exert any meaningful control of or influence over how and when such security incident or failure is addressed. While we may be entitled to damages if our third-party service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9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actively implement measures designed to identify, protect, detect, respond to, and recover from vulnerabilities within our information systems, including those related to hardware, software, and third-party providers. However, despite our efforts, not all vulnerabilities may be detected or resolved promptly. In some cases, there may be delays in developing and deploying necessary remediation measures and security patches. These undetected or unaddressed vulnerabilities could be exploited, potentially leading to security incidents or other disruptions, which could have a material adverse effect on our business, financial condition, results of operations, and prospects. We have experienced certain immaterial security incidents in the past, and may experience security incidents in the future. Such an event, or other threats in the future, could cause another security incident or other interruption that could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19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expended significant resources and modified our business activities (including our clinical trial activities) to try to protect against security incidents and other disruptions, and will continue to do so.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costs related to security breaches or disruptions could be material, and might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If any such incidents were to occur and cause interruptions in our operations, including to the extent that any disruption or security incident were to result in a loss or interruption of, or damage to, our data or applications, or those of our contractors, consultants, and other third parties with whom we work, or inappropriate disclosure of sensitive data,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reputational damage, and the further development of any product candidates could be delayed. Applicable privacy and cybersecurity obligations may require us, or we may voluntarily choose, to notify relevant stakeholders, including affected individuals, future customers, regulators, and investors, of security incidents or other disruptions, or to take other actions, such as providing credit monitoring and identity theft protection services. Such disclosures and related actions can be costly, and the disclosure, or the failure to comply with applicable requirements, could have material adverse effects on our business. Any such event could also result in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other disruptions, and their attendant consequences may negatively impact our ability to grow and operate our business, and may result in a loss of confidence in us and in our ability to conduct clinical trials, which could delay the clinical development of our product candidates.</w:t>
      </w:r>
    </w:p>
    <w:p>
      <w:pPr>
        <w:spacing w:after="0" w:line="19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 information technology systems of our contractors, consultants, and other third parties with whom we work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Our contracts may not always contain limitations of liability, and even where they do, there can be no assurance that limitations of liability in our contracts are sufficient to protect us from liabilities, damages, or claims related to our privacy and cybersecurity obligations. We cannot be sure that our insurance coverage will be adequate or sufficient to protect us from, or to mitigate liabilities arising as a result of, our privacy and cybersecurity practices, or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technologies.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information technology will prevent breakdowns, data leakages, breaches in our systems, or those of our contractors, consultants, and other third parties with whom we work, or other security incidents or other disruptions that could have a material adverse effect upon our reputation, business, operations, or financial condition. For example, if such an event were to occur and cause interruptions in our operations, or those of our contractors, consultants, and other third parties with whom we work, it could result in a material disruption or delay of the development of our product candidates. Furthermore, significant disruptions of our internal information technology systems, or those of our contractors, consultants, and other third parties with whom we work, or security incidents, could result in the loss, misappropriation, or unauthorized access, use, or disclosure of, or the prevention of access to, sensitive data, which could result in financial, legal, business, and reputational harm to us. For example, any such event that leads to unauthorized access, use, or disclosure of sensitive data, including sensitive data regarding our customers or employees, could harm our reputation directly, compel us to comply with federal or state breach notification laws and foreign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equivalents, subject us to mandatory corrective action, and otherwise subject us to liability under laws and regulations that protect the privacy and security of sensitive data, which could result in significant legal and financial exposure, and reputational damages that could potentially have a material adverse effect on our business, financial condition, results of operations, and prospects.</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privacy and cybersecurity.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 as could changes in such laws, regulations, and other obligations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and our partners process personal data, including sensitive personal data, as well as proprietary and confidential business information and other personal data. As a result, we and our partners are subject to numerous privacy and cybersecurity obligations, which may include various federal, state, local, and foreign laws and regulations, guidance, industry standards, external and internal privacy and security policies, contractual requirements, and other obligations relating to privacy and cybersecurity. These laws, rules, and regulations may be subject to differing interpretations, which adds to the complexity of processing personal data. Guidance on implementation and compliance practices are often updated or otherwise revised. This evolution may create uncertainty in our business, affect our ability to operate in certain jurisdictions, or to collect, store, transfer, use, share, or otherwise process personal data, necessitate the acceptance of more onerous obligations in our contracts, result in liability, or impose additional costs on us. If we fail or are perceived to have failed, to comply with these laws, rules, and regulations, we may be subject to litigation, regulatory investigations, enforcement notices, enforcement actions, fines, imprisonment of company officials, public censure, claims for damages by affected individuals, and criminal or civil penalties, as well as negative publicity, reputational harm, loss of goodwill, and a potential loss of business, any of which could have a material adverse effect on our business, financial condition, results of operations, and prospects.</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state, and local governments have enacted laws, rules,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personal data, including health-related information. Each of these laws, rules, and regulations is subject to varying interpretations and constantly evolving.</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HIPAA, as amended by HITECH, and regulations promulgated thereunder, impose specific requirements relating to the privacy, security, and transmission of individually identifiable protected health information on “covered entities,” and their respective “business associates,” as well as their covered subcontractors, that perform services for them. Depending on the facts and circumstances, we could be subject to significant penalties if we violate HIPAA. For example, while we are not a “covered entity” under HIPAA, if we enter into a business associate agreement, we could potentially face substantial criminal or civil penalties if we knowingly receive protected health information from a HIPAA-covered healthcare provider or research institution that has not satisfied HIPAA’s requirements for disclosure of such protected health information, or otherwise violate applicable HIPAA requirements related to the protection of such information. Moreover, determining whether protected health information has been handled in compliance with applicable privacy standards, as well as our contractual obligations with third parties can be complex and may be subject to changing interpretation. If we are unable to protect the privacy and security of health information, we could be found to have breached our contracts. HHS has the discretion to impose penalties without attempting to first resolve violations. HHS enforcement activity can result in financial liability and reputational harm.</w:t>
      </w:r>
    </w:p>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personal data that merits stronger safeguards.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on April 8, 2025, the DOJ implemented the Data Security Program Rule, or DSP, under Executive Order 14117 and the International Emergency Economic Powers Act. The DSP imposes restrictions on certain data-related transactions involving U.S. persons and entities, particularly those that may result in access to U.S. government-related data or bulk sensitive personal data of U.S. persons by foreign adversaries or entities under their control. The rule effectively imposes export control-like restrictions on the transfer, sale, or sharing of sensitive data-including genomic, geolocation, biometric, health, financial, and other personal data-to or with entities in countries of concern, including but not limited to China, as well as entities and persons associated with those countries. The DSP also creates additional obligations for U.S. companies concerning personal data they collect, store, or transmit. Compliance may require us to stop or restrict certain data transfers, alter the geographic scope of our operations, cease doing business with certain third parties or using certain tools or vendors, or change how data flows throughout our business. Failure to comply with the DSP could result in civil or criminal penalties and restrictions on our ability to engage in certain business activities. Additionally, the scope and interpretation of the rule may evolve, and future guidance or enforcement actions could impose further obligations or restrictions.</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affect our business. Certain states also impose stricter requirements for processing certain personal data, including sensitive data, such as conducting data privacy impact assessments. Failure to comply with these laws, where applicable, can result in significant statutory fines. For example, the California Consumer Privacy Act, as amended by the California Privacy Rights Act of 2020, collectively the CCPA, applies to personal data of consumers, business representatives, and employees who are California residents, and requires businesses to provide specific disclosures in privacy notices, and honor requests of such individuals to exercise certain privacy rights, including allowing customers to opt out of certain data sharing with third parties. The CCPA provides for fines of up to $7,500 per intentional violation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Several other states have passed comprehensive privacy laws similar to the CCPA. Like the CCPA, these laws create obligations related to the processing of personal information, as well as special obligations for the processing of “sensitive” data. Some of the provisions of these laws may apply to our business activities. A number of similar privacy laws are also being considered in several other states as well as at the federal level, which may add additional complexity, variation in requirements, restrictions, and potential legal risk, and require additional investment of resources in compliance programs, alter data handling strategies, and restrict the availability of previously useful data, and could result in increased compliance costs 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9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These laws are not consistent, and compliance in the event of a widespread data breach is difficult and may be costly. Moreover, states frequently amend existing laws, requiring attention to changing regulatory requirements. We also may be contractually required to notify patients or other counterparties of a security breach. In addition to government regulation, privacy advocates and industry groups have in the past,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including Australia’s Privacy Act 1988, the European Union’s General Data Protection Regulation, or the EU GDPR, the United Kingdom’s General Data Protection Regulation, or UK GDPR, together with the EU GDPR, the GDPR, and China’s Personal Information Protection Law, or the PIPL, may also apply to our processing of personal data, including health-related and other sensitive personal data.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94"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GDPR, together with national legislation, regulations, and guidelines of the European Economic Area, or the EEA, EU member states, and the United Kingdom governing the processing of personal data, imposes strict obligations and restrictions on the ability to collect, analyze, and transfer personal data, including processing health data from clinical trials, adverse event reporting, and engaging in other activities associated with clinical trials. In particular, these obligations and restrictions concern the legal basis, such as consent, upon which personal data may be lawfully processed, the information provided to individuals whose data are processed, the transfer of personal data out of the EEA or the United Kingdom, security breach notifications, and the security and confidentiality of the personal data. The GDPR also provides that EEA member states and the United Kingdom make their own further laws, rules, and regulations to introduce specific requirements related to the processing of “special categories of personal data,” including personal data related to health, biometric data used for unique identification purposes, genetic information, as well as personal data related to criminal offences or convictions. This fact may lead to greater divergence on the law that applies to the processing of such data types across the EEA and the United Kingdom, compliance with which, as and where applicable, may increase our costs and could increase our overall compliance risk. Such member state-specific regulations could limit our ability to collect, use, and share data in the context of any future EEA or United Kingdom establishments (regardless of where any processing in question occurs). The GDPR also imposes substantial potential fines for breaches of such data protection obligations. Companies that must comply with the GDPR face increased compliance obligations and risk, including robust regulatory enforcement of data protection requirements by national authorities, temporary or definitive bans on data processing, private litigation related to processing of personal data brought by classes of data subjects or consumer protection organizations authorized under law to represent their interests, and potential administrative fines for noncompliance of up to €20 million (£17.5 million) or 4% of the annual global revenues of the noncompliant company, whichever is greater.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companies. The GDPR also confers a private right of action on data subjects and consumer associations to lodge complaints with supervisory authorities, seek judicial remedies, and obtain compensation for damages resulting from violations of the GDPR. Further, the exit of the United Kingdom from the EU, often referred to as Brexit, and ongoing developments in the United Kingdom have created uncertainty regarding data protection regulation in the United Kingdom. While the EU GDPR and the UK GDPR remain substantially similar for the time being, the government of the United Kingdom has adopted reforms to its data privacy and cybersecurity legal framework in its Data Use and Access Act 2025, which became law on June 19, 2025 (phasing in between June 2025 and June 2026) and will introduce significant changes from the EU GDPR. This may lead to additional compliance costs and could increase overall risk exposure as businesses may no longer be able to take a unified approach across the EEA and the United Kingdom, and such businesses may need to amend their processes and procedures to align with the new framework. Implementing mechanisms to endeavor to ensure compliance with the EU GDPR and the UK GDPR may be onerous and expose businesses to divergent parallel regimes that may be subject to potentially different interpretations and enforcement actions for certain violations and related uncertainty.</w:t>
      </w:r>
    </w:p>
    <w:p>
      <w:pPr>
        <w:spacing w:after="0" w:line="20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and other jurisdictions to the United States or other countries due to data localization requirements or limitations on cross-border data flows. Europe and other jurisdictions have enacted laws or imposed policy mandates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U.S.-based organizations that self-certify compliance and participate in the Framework), these mechanisms are subject to legal challenges or may be challenged in the future, and there is no guarantee that we can satisfy or rely on these measures to lawfully transfer personal data to the United States or other jurisdictions.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civil society and privacy advocacy groups.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PIPL covers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It imposes similar restrictions as the GDPR does, including restrictions on the ability to collect and process personal data, consent requirements and data subject rights, and data localization and limitations on cross-border data transfers. Companies that violate the PIPL are subject to fines of up to 50 million renminbi or 5% of the revenue of the noncompliant company in the prior year and other penalties.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Implementing mechanisms to ensure our compliance with the GDPR, the PIPL, and relevant local legislation in EEA member states, the United Kingdom, China, and elsewhere we do business may be onerous and may interrupt or delay our development activities, and adversely affect our business, financial condition, results of operations, and prospects. In addition to the foregoing, a breach of the GDPR, the PIPL,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are bound by other contractual obligations related to privacy and cybersecurity, and our efforts to comply with such obligations may not be successful.</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privacy and cybersecurity.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Obligations related to privacy and cybersecurity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If we or our collaborators or our third-party processors fail to keep apprised of, and comply with, applicable international, federal, state, or local regulatory requirements, we could be subject to a range of regulatory actions that could affect our or any of our collaborators’ ability to seek to commercialize our product candidates, if approved. Any threatened or actual governmental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foreign privacy and cybersecurity laws, rules, and regulations could require us to take on more onerous obligations in our contracts, require us to engage in costly compliance exercises, restrict our ability to collect, use, and disclose sensitive data, or, in some cases, diminish our or our partners’ or suppliers’ ability to operate in certain jurisdictions. Each of these constantly evolving laws can be subject to varying interpretations. We may face challenges in addressing their requirements and making necessary changes to our policies and practices, and may incur significant costs and expenses in an effort to do so.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Moreover, even if we take all necessary actions to comply with legal and regulatory requirements, we could be subject to data breaches or other unauthorized access of personal information or other sensitive or confidential information, which could subject us to fines and penalties, as well as litigation and reputational damage and other adverse consequences.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commercialize our product candidates.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rely, and intend to rely in the future, on various flexible service providers with whom we contract to undertake specific tasks in the conduct of preclinical studies and clinical trials to support the evaluation of our current or future product candidates. Because we currently rely and intend to continue to rely on these third parties, we may have less control over the timing, quality, and other aspects of preclinical studies and clinical trials than we would have had we conducted all aspects of these studies independently. For example, under the collaboration agreement with Impact, Impact is responsible for the clinical development of EIK1003 and EIK1004 in certain jurisdictions, and we currently depend on Impact for our clinical drug substance supply for these product candidates. While we generally do not rely on CROs to supervise and conduct clinical trials in their entirety, we often employ CROs under flexible service provider contracts to represent us in jurisdictions where we do not currently have permanent employees, or to undertake specific tasks where our own employees cannot allocate sufficient time to complete the necessary work. These parties are not, and will not be, our employees, and we must supervise the amount of time and the resources that they dedicate to our programs. Additionally, such parties may have contractual relationships with other entities, some of which may be our competitors, which may draw time and resources from our programs.</w:t>
      </w:r>
    </w:p>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9" w:name="page150"/>
    <w:bookmarkEnd w:id="149"/>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assure you that upon inspection by a given regulatory authority, such regulatory authority will determine that any of our clinical trials complies with GCPs. Moreover, our business may be adversely affected if our CROs, clinical investigators, or other third parties violate federal or state healthcare fraud and abuse or false claims laws and regulations, or healthcare privacy and security laws.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9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6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have any manufacturing facilities, and do not plan to establish manufacturing capabilities in the near future. We currently rely, and expect to continue to rely, on third-party contract manufacturers to provide bulk drug substances, drug products, raw materials, samples, components, and other materials for our product candidates.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may expose us to different risks than if we were to manufacture product candidates ourselves. There can be no assurance that our preclinical and clinical development supplies will not be limited, interrupted, or terminated, will be of satisfactory quality, or be available at acceptable prices, including as we expand the size and number of our clinical trials. Any deviations from their contractual obligations by our third-party manufacturers could delay, prevent, or impair our development or commercialization efforts. In addition, replacing a manufacturer could require significant effort and time because there may be a limited number of qualified replacements.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fashion, or on reasonable terms, or at all. In some cases, the technical skills or technology required to manufacture our product candidates may be unique or proprietary to the original manufacturer, and we may have difficulty transferring such to another third party.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spacing w:after="0" w:line="1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however, we do not have any agreements with third-party manufacturers for the long-term supply of any of our product candidates.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spacing w:after="0" w:line="80"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the cooperation of existing or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patients in clinical trials, or to provide product for treatment of patients if approved, would be jeopardized.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are located outside of the United States, which subjects us to additional risks that are beyond our control and that could harm our business, financial condition, results of operations, and prospects.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Certain of our suppliers are located outside of the United States, including China. As a result, we are subject to risks associated with doing business abroad,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and operating in a manner acceptable to the FDA or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and other proprietary rights, including trademark protection, in some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is currently significant uncertainty about the future relationship between the United States and various other countries, including China, with respect to trade policies, treaties, government regulations, and tariffs. Increased tariffs could potentially disrupt our existing supply chains and impose additional costs on our business. Additionally, it is possible that further tariffs may be imposed that could affect imports of active pharmaceutical ingredients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investors in our common stock could incur substantial losses.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could fluctuate widely in response to many factors, some of which are outside of our control. As a result of this volatility, you may not be able to sell your shares of common stock at or above the price you paid. The market price for our common stock may be influenced by many factors, including the other risks described in this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following:</w:t>
      </w:r>
    </w:p>
    <w:p>
      <w:pPr>
        <w:spacing w:after="0" w:line="68" w:lineRule="exact"/>
        <w:rPr>
          <w:sz w:val="20"/>
          <w:szCs w:val="20"/>
          <w:color w:val="auto"/>
        </w:rPr>
      </w:pPr>
    </w:p>
    <w:p>
      <w:pPr>
        <w:ind w:left="1020" w:right="3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pipeline, including the commencement, enrollment, or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drugs we are using as part of a combination treatment;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2" w:name="page153"/>
    <w:bookmarkEnd w:id="152"/>
    <w:p>
      <w:pPr>
        <w:spacing w:after="0" w:line="86" w:lineRule="exact"/>
        <w:rPr>
          <w:sz w:val="20"/>
          <w:szCs w:val="20"/>
          <w:color w:val="auto"/>
        </w:rPr>
      </w:pPr>
    </w:p>
    <w:p>
      <w:pPr>
        <w:ind w:left="1020" w:right="3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filings and any adverse development or perceived adverse development with respect to the applicable regulatory authority’s review of such filings;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product candidates, or similar products or product candidates against which we compete, including unanticipated safety, tolerability, or efficacy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or in-license additional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manufacturers or suppliers, or any manufacturing, supply, or distribution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other intellectual property and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dispositions, collaborations, licenses, or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positive or negative recommendations, withdrawal of research coverage by securities analysts, or changes in financial estimates by equity research analysts and whether our product development efforts or earnings (or losses) meet or exceed such estimates;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perception of potential sales of our common stock by us, our insiders, or other stockholders, or issuances by us of shares of our common stock in connection with strategic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related to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including 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such as the imposition of or changes to tariffs, including any such changes specific to the pharmaceutical and biotechnology sectors.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directors or officers may be subject to securities litigation, which is expensive and could divert management attention.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be the target of securities litigation in the future, including based on volatility in the market price of our stock. The stock market in general, and Nasdaq-listed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which may cause our stock price to fluctuate or decline.</w:t>
      </w:r>
    </w:p>
    <w:p>
      <w:pPr>
        <w:spacing w:after="0" w:line="5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preclinical studies or clinical trials;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existing license and collaboration arrangements or the termination or modification thereof;</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acquisitions, dispositions, collaborations, licenses, or similar arrangements, and the timing and amount of payments we may make or receive in connection with such transactions;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 misappropriation, or other violation of intellectual property or proprietary rights and any related lawsuit or opposition, inter partes review, post-grant review, derivation,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Our financial results should not be relied upon as an indication of our future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without stockholder approval.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6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We currently have no marketing and sales organization and have no experience as a company in commercializing products, and we may need to invest significant resources to develop these capabilities. To achieve commercial success for any product candidate for which we obtain marketing approval, we will need to establish sales, marketing, and distribution capabilities, either by ourselves or through collaboration or other arrangements with third parties.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If we are unable to establish marketing and sales capabilities or enter into agreements with third parties to market and sell our products, we may not be able to generate product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mature, and as we transition into operating as a public company, we may expand our employee base for managerial, operational, financial, and other resources. In addition, as our product candidates enter and advance through preclinical studies and clinical trials, we may need to expand our development, regulatory, and manufacturing capabilities or contract with other organizations to provide these capabilities for us. We have to manage additional relationships with partners, suppliers, and other organizations as part of our ongoing and anticipated clinical trials, and we expect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successfully manage our growth and expand our operations could have a material and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from time to time,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such potential transaction may entail numerous risks, including:</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contractual obligations,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a strategic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or other benefits from acquired technology or products sufficient to meet our objectives in undertaking the acquisition or even to offset the associated acquisition and maintenance costs.</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We may not identify or complete these transactions in a timely manner, on a cost-effective basis or at all, and we may not realize the anticipated benefits of any acquisition, license, strategic alliance, or joint venture.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21,177,600 shares of our common stock sold in our initial public offering (unless they were purchased by one of our affiliates) are freely tradable, without restriction, in the public market following our initial public offering.</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and holders of substantially all of our outstanding securities have entered into lock-up agreements with the underwriters pursuant to which they may not, with certain exceptions, through August 3, 2026, offer, sell, or otherwise transfer or dispose of any of our securities, without the prior written consent of the representatives of the underwriters. However, the representatives may permit our officers, directors, and other security holders who are subject to the lock-up agreements to sell shares prior to the expiration of the lock-up agreements at any time in their sole discretion.</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Sales of these shares, or perceptions that they will be sold, could cause the trading price of our common stock to decline. After the lock-up agreements expire, an additional 32,924,231 shares of our common stock will be eligible for sale in the public market; however, shares held by directors, executive officers, and other affiliates will continue to be subject to volume limitations under Rule 144 under the Securities Act.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5,513,142 shares of our common stock that are subject to outstanding options and the 739,559 shares of our common stock issuable upon the exercise of our outstanding stock warrants, in each case as of December 31, 2025, are eligible for sale in the public market,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183"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29,855,741 shares of our outstanding common stock, or approximately 55% of our total outstanding common stock as of December 31, 2025,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Any sales of securities by these stockholders, or if it is perceived that they will be sold, could adversely affect the trading price of our common stock.</w:t>
      </w:r>
    </w:p>
    <w:p>
      <w:pPr>
        <w:spacing w:after="0" w:line="1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some members of our board of directors are representatives of our principal stockholders.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29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of March 17, 2026, our executive officers, directors, and holders of 5% or more of our capital stock beneficially owned approximately 30.2% of our voting stock. As a result, these stockholders, if acting together, will continue to have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and resources to public company compliance initiatives.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particularly after we are no longer an emerging growth company or a smaller reporting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to develop and implement appropriate internal control and reporting procedures, which will increase our costs and expenses.</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or NOL, carryforwards and certain other tax attributes to offset taxable income or taxes may be limited.</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2025, we had U.S. federal NOL carryforwards of approximately $423.6 million and research and development credits of approximately $23.3 million, and state NOL carryforwards of approximately $253.3 million and research and development credits of approximately $12.0 million. Under the Internal Revenue Code of 1986, as amended, or the Code, our U.S. federal NOL carryforwards will not expire and may be carried forward indefinitely but the deductibility of such NOL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including our initial public offering, increasing the likelihood that there have been changes in our ownership that would limit our ability to utilize our tax attribute carryforwards. Furthermore, there may be additional ownership changes in the future, or as a result of subsequent changes in our stock ownership, some of which may be outside of our control. If we have undergone, or in the future undergo, an ownership change, and our ability to use our pre-change NOL carryforwards and other pre-change tax attributes (such as research tax credits) to offset our post-change income or taxes is limited, it may harm our future results of operations by effectively increasing our future tax liability.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liability. As a result, even if we attain profitability, we may be unable to use all or a material portion of our NOL carryforwards and other tax attributes, which could adversely affect our future cash flows.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us.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IRA includes provisions that impose a 15% minimum tax, or CAMT, on the adjusted financial statement income of certain large corporations. CAMT is effective for taxable years beginning after December 31, 2022 and generally applies to taxpayers with average annual financial statement income exceeding $1 billion over a three-year period. The impact of this law was not material to us for the year ended December 31, 2025, though it is possible that CAMT may have a material impact on our financial position in future years. Likewise, on July 4, 2025, the One Big Beautiful Bill Act, or the Act, was enacted into law. The Act includes significant changes to the U.S. tax code, including restoration of immediate recognition of domestic research and development expenditures and reinstatement of 100% bonus depreciation for qualifying property. We do not currently anticipate the Act to have a material impact on our financial position.</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Annual Report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Annual Report. We could be an emerging growth company for up to five years following the completion of our initial public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most recently completed second fiscal quarter, or if we have total annual gross revenue of $1.235 billion or more during any fiscal year before that time, in which cases we would no longer be an emerging growth company as of the end of the fiscal year, or if we issue more than $1.0 billion in non-convertible debt during any three-year period before that time, in which case we would no longer be an emerging growth company immediately. As a result of being an emerging growth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we provide stockholders will be less than the information that is available with respect to other public companies. We have taken advantage of reduced reporting burdens in this Annual Report.</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most recently completed second fiscal quarter, or our annual revenue is less than $100.0 million during the most recently completed fiscal year and the market value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this Annual Report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The delisting of our common stock could significantly impair our ability to raise capital and the value of your investment.</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Each of our Certificate of Incorporation and our Bylaws contain provisions that could delay or prevent a change in control of Eikon.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1020" w:right="40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fill vacancies on our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our annual stockholder meetings;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86" w:lineRule="exact"/>
        <w:rPr>
          <w:sz w:val="20"/>
          <w:szCs w:val="20"/>
          <w:color w:val="auto"/>
        </w:rPr>
      </w:pPr>
    </w:p>
    <w:p>
      <w:pPr>
        <w:ind w:left="1020" w:right="10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can remove directors only upon the approval of not less than 66 2/3% of all outstanding shares of our capital stock entitled to vote generally in the election of directors, voting as a single class;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66 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absent approval of our board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jurisdictions in which certain stockholder litigation may be brought.</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Section 203 of General Corporation Law of the State of Delaware, or the DGCL, which may discourage, delay, or prevent a change in control of us. Section 203 imposes certain restrictions on mergers, business combinations, and other transactions between us and holders of 15% or more of our common stock.</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should be deemed to have notice of and consented to this exclusive forum provision, but will not be deemed to have waived our compliance with the federal securities laws and the rules and regulations promulgated thereunder.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we do not currently have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the effectiveness of our internal control over financial reporting until our second Annual Report on Form 10-K. In addition,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internal controls and procedures. Testing and maintaining internal controls can divert our management’s attention from other matters that are important to the operation of our business and 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manage cybersecurity risks utilizing a risk-based approach that incorporates various information security processes designed to identify, assess and manage risks from cybersecurity threats, including potential unauthorized access to our critical information technology systems and data. Depending on the environment, we maintain certain controls, systems, and other processes designed to identify, assess and manage our cybersecurity threats and risks, such as: maintaining network security controls, maintaining email security tools, utilizing certain third-party managed security services, such as managed detection and response, monitoring threat intelligence bulletins, conducting penetration tests and vulnerability scans, maintaining cybersecurity insurance, and conducting periodic employee cybersecurity training.</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enterprise risk management processes. For example, we evaluate and manage material risks arising from cybersecurity threats, along with other significant risks we face, against our overall business objectives and within our overall enterprise risk management practices. Our board of directors and its committees take an active role in overseeing management of our risks and have the ultimate responsibility for the oversight of risk management.</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use service providers to assist us from time to time to identify, assess, and manage material risks from cybersecurity threats, including for example, outside security consultants and vendors, third party penetration testing providers, and forensic providers.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we use third-party service providers to perform a variety of functions throughout our business, such as software-as-a-service providers, data hosting companies, and contract research organizations. We maintain a vendor risk management process designed to help manage cybersecurity risks associated with our use of these providers. Depending on the nature of the services provided, the sensitivity of the specific software systems and data at issue, and the identity of the provider, our vendor risk management process may involve different levels of assessment designed to help identify cybersecurity risks associated with a provider, including, for example, security questionnaires and the imposition of contractual obligations related to cybersecurity on the provider.</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a description about risks from cybersecurity threats that may materially affect us and how they may do so, see the risk factor in this Annual Report titled “</w:t>
      </w:r>
      <w:r>
        <w:rPr>
          <w:rFonts w:ascii="Times New Roman" w:cs="Times New Roman" w:eastAsia="Times New Roman" w:hAnsi="Times New Roman"/>
          <w:sz w:val="18"/>
          <w:szCs w:val="18"/>
          <w:i w:val="1"/>
          <w:iCs w:val="1"/>
          <w:color w:val="auto"/>
        </w:rPr>
        <w:t>If our information technology systems, or those used by our CROs, CMOs, clinical sites, or other contractors, consultants, or third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addresses our cybersecurity risk management as part of its general oversight function. The Audit Committee has been designated by our board of directors to oversee the Company’s cybersecurity risk management process, including oversight of mitigation of risks from cybersecurity threats.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a dedicated information technology team led by our Vice President, Head of Information Technology, who has over twenty years of experience managing information technology systems and cybersecurity risks. He is responsible for hiring appropriate personnel, helping to integrate cybersecurity risk considerations into our overall risk management strategy, and communicating key priorities to relevant personnel. Together with certain other senior management personnel, he is also responsible for approving functional cybersecurity budgets, implementing approved, phase-appropriate cybersecurity policies, plans and/or guidelines, reviewing security assessments and other security-related reports and overseeing cybersecurity processes. He reports directly to our Chief Operating Officer, who previously oversaw information technology infrastructure and cybersecurity strategies as Merck's Chief Strategy Officer.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incident response processes are designed to escalate certain incidents to members of management (including the Chief Financial Officer) depending on the circumstances. Our Vice President, Head of Information Technology works with our cybersecurity incident responders to help us mitigate and remediate cybersecurity incidents of which they are notified. Our incident response processes also include reporting to the Disclosure Committee and the Audit Committee for certain cybersecurity incidents. In addition, the Audit Committee receives from management periodic updates on cybersecurity risks and information technology matters, including related risk exposures and the processes we have implemented to address them.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lease approximately 285,000 square feet of space at our corporate headquarters in Millbrae, California. The Millbrae lease expires in January 2040. We also currently lease and sublease a total of approximately 125,000 square feet of space across two different properties in Hayward, California, for use as office and research and development space. These leases and subleases expire between October 2026 and July 2029. We currently lease approximately 13,000 square feet of space in New York, New York, which expires in June 2028, for use as research and development space, and approximately 36,000 square feet of space in Jersey City, New Jersey, which expires in July 2027, to serve as our East Coast headquarters. We believe that our existing facilities are adequate to meet our current needs, and that suitable additional alternative spaces will be available in the future on commercially reasonable terms.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Common Stock</w:t>
      </w:r>
    </w:p>
    <w:p>
      <w:pPr>
        <w:spacing w:after="0" w:line="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voting common stock has been listed on The Nasdaq Global Select Market under the symbol “EIKN” since February 5, 2026. Prior to that date,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March 17, 2026, there were 249 stockholders of record of our voting common stock. Because many of our voting common stock are held by brokers and other institutions on behalf of stockholders, we are unable to estimate the total number of stockholders represented by these record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Options to Purchase Common Stock and Common Stock Upon Exercise of Options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From January 1, 2025 through December 31, 2025, we granted options to purchase an aggregate of 5,932,746 shares of our common stock to certain of our employees, consultants, and directors, having exercise prices ranging from $9.85 to $11.12 per share.</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From January 1, 2025 through December 31, 2025, we issued to certain of our employees, consultants, and directors an aggregate of 200,267 shares of our common stock at a per share price ranging from $1.12 to $20.89 pursuant to exercises of options for an aggregate purchase price of $1.9 million.</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the preceding paragraphs were deemed to be exempt from registration either under Rule 701 promulgated under the Securities Act in that the transactions were under compensatory benefit plans and contracts relating to compensation, or under Section 4(a)(2) of the Securities Act in that the transactions were between an issuer and accredited investors, including members of its senior executive management and its directors, and did not involve any public offering within the meaning of Section 4(a)(2). The recipients of such securities were our employees, directors, or consultants. Appropriate legends were affixed to the securities issued in these transactions. Each of the recipients of securities in these transactions had adequate access, through employment, business, or other relationships, to information about us. On February 6, 2026, we filed a registration statement on Form S-8 under the Securities Act to register the offer and sale of all of the shares of our common stock subject to outstanding options and all shares otherwise issuable pursuant to our equity compensation plans and other non-plan based stock option agreement awards.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5" w:name="page166"/>
    <w:bookmarkEnd w:id="1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Series B-1, C-1, and D Redeemable Convertible Preferred Stock</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multiple closings in February 2025, we issued and sold an aggregate of (i) 35,756,908 shares of our Series B-1 redeemable convertible preferred stock as a result of the cancellation of an aggregate of 11,814,375 shares of our Series B redeemable convertible preferred stock, which had an aggregate redemption value of approximately $209.0 million, (ii) 4,975,110 shares of our Series C-1 redeemable convertible preferred stock as a result of the cancellation of an aggregate of 1,352,470 shares of our Series C redeemable convertible preferred stock, which had an aggregate redemption value of approximately $29.1 million, and (iii) 60,005,669 shares of our Series D redeemable convertible preferred stock at a purchase price of $5.84 per share for an aggregate purchase price of approximately $350.7 million. All outstanding shares of our Series B-1, C-1, and D redeemable convertible preferred stock automatically converted into an aggregate of 13,507,697 shares of our common stock in connection with the closing of our initial public offering on February 6, 2026.</w:t>
      </w:r>
    </w:p>
    <w:p>
      <w:pPr>
        <w:spacing w:after="0" w:line="19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 No underwriters were involved in these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Warrants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issuance and sale of our Series D redeemable convertible preferred stock, on February 14, 2025, we issued warrants to Foresite Capital Fund IV, L.P., Foresite Capital Fund V, L.P., and The Column Group Opportunity III, LP, and on February 26, 2025, we issued a warrant to Mahler International Limited, for the purchase of up to an aggregate of 739,559 shares of our common stock, at an exercise price of $43.59 per share. No separate cash consideration was paid for the warrants, which were issued as an inducement to such investors in connection with their purchase of Series D redeemable convertible preferred stock.</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 No underwriters were involved in these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 of Common Stock</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January 30, 2026, our Registration Statement on Form S-1, as amended (File No. 333-292633), or the Registration Statement, was declared effective in connection with our initial public offering, pursuant to which we sold an aggregate of 21,177,600 shares of our common stock at a price to the public of $18.00 per share. J.P. Morgan Securities LLC and Morgan Stanley &amp; Co. LLC acted as joint book-running managers. The initial public offering closed on February 6, 2026. The approximate aggregate net proceeds from the initial public offering were $349.0 million, after deducting underwriting discounts and commissions and other offering costs of $32.2 million.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our initial public offering have been invested according to our approved investment policy in a mix of money market funds and high-quality marketable securities that are being held to maturity. There has been no material change in the planned use of proceeds from our initial public offering as described in our final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for our initial public offering filed pursuant to Rule 424(b)(4) under the Securities Act with the SEC on February 5,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financial statements and the related notes included in Item 8 of Part II of this Annual Report.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in Part I, Item 1A of this Annual Report, and in the other documents we file with the SEC. Historical results are not necessarily indicative of future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are a late-stage clinical biopharmaceutical company dedicated to building a global, fully-integrated organization developing innovative medicines to address serious unmet medical needs. We are led by world-renowned drug developers Dr. Roger M. Perlmutter, M.D., Ph.D., and Dr. Roy Baynes, M.D., Ph.D. Our vision is to become a generational leader, by purposefully integrating traditional biology research with advanced engineering to develop better medicines faster. Our initial focus is oncology, where we are advancing a pipeline of drug candidates targeting areas of high unmet need in large indications. We believe our product candidates reflect strong scientific and clinical potential and could eventually become critical medicines in the treatment paradigm of various cancers.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Chair and Chief Executive Officer, Dr. Roger M. Perlmutter, M.D., Ph.D., and our Chief Medical Officer, Dr. Roy Baynes, M.D., Ph.D., together have a proven track record of identifying, developing, and commercializing some of the most impactful drugs ever brought to market, including pembrolizumab, currently the world’s best-selling oncology therapeutic and arguably the most important anti-neoplastic agent ever introduced into clinical practice. While Drs. Perlmutter and Baynes’ track records do not provide a guarantee of future clinical success, and any products developed by us may not achieve the regulatory or commercial success of products that Drs. Perlmutter and Baynes were previously involved in developing, their experience provides valuable insight and strategic guidance to our drug development efforts. Our broader leadership team consists of former senior leaders at global pharmaceutical companies, who have successfully collaborated across several decades on the discovery, development, and commercialization of over 100 new molecular entities.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strategy centers around deploying our technology platform, including our proprietary single molecule tracking, or SMT, system, to develop internally-derived novel therapies, while also leveraging the deep expertise of our management team to opportunistically in-license promising assets. Our most advanced product candidate, EIK1001, a toll-like receptor, or TLR, 7/8 dual-agonist, is currently in a global Phase 2/3 registrational trial in combination with pembrolizumab for the treatment of patients with advanced melanoma. This Phase 2/3 trial is designed to proceed to completion, subject to interim analysis by a data monitoring committee, and to form the basis for registration. We are also evaluating EIK1001 in combination with both pembrolizumab and histology appropriate chemotherapy for the treatment of patients with non-small cell lung cancer, or NSCLC, in a Phase 2 trial, as well as a Phase 2/3 registrational trial for which we recently initiated site selection. We are also conducting Phase 1/2 trials of each of our selective PARP1 inhibitor product candidates, EIK1003 and EIK1004, in ovarian, breast, prostate, and pancreatic cancers and, specifically with the brain-penetrant candidate EIK1004, to address brain metastases and primary brain malignancies. In addition, we have recently initiated and have begun dosing in a Phase 1/2 trial in patients with advanced solid tumors for EIK1005, our Werner, or WRN, helicase inhibitor that emerged through internal research using our technology platform, which will ultimately be evaluated for the treatment of patients with microsatellite instability-high, or MSI-high, tumors.</w:t>
      </w:r>
    </w:p>
    <w:p>
      <w:pPr>
        <w:spacing w:after="0" w:line="19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in 2019, we have devoted substantially all of our resources to research and clinical development activities, the development of our technology platform, recruiting management and technical staff,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business planning, producing materials for preclinical studies and clinical trials, establishing our intellectual property portfolio, entering into collaboration and license agreements, and building our infrastructure to support such activities, and raising capital. We do not have any products approved for sale and have not generated any revenue from product sales.</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our inception, consistent with our operating plan. Our net losses were $324.2 million and $243.8 million for the years ended December 31, 2025 and 2024, respectively. As of December 31, 2025, we had an accumulated deficit of $920.5 million and cash, cash equivalents, and marketable securities of $336.0 million. Since our inception, we have financed our operations primarily through the sale of shares of our redeemable convertible preferred stock and more recently, through our initial public offering.</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as of the date of this Annual Report, including the net proceeds from our initial public offering, will be sufficient to fund our operating expenses and capital expenditures into the second half of 2027. We have based this estimate and our forecast of cash resources and planned operations on our current assumptions, which may prove to be wrong, and we may exhaust our available capital resources sooner than we expect. Additional funds will be necessary after that date to maintain current operations and to continue our research and development activities. We plan to monitor expenses and raise additional capital opportunistically through any combination of public and private equity and debt financings, strategic alliances, and licensing or collaboration arrangements. Our ability to access capital when needed is not assured, and if capital is not available to us when, and in the amounts, needed, and on acceptable terms, we may need to delay, scale back, or abandon some or all of our development programs and other operations, which could materially affect our business, financial condition, and results of operations.</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losses for the foreseeable future, and our transition to profitability, if ever,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or enter into license or collaboration agreements with third parties that generate substantial revenue for us. Because of the numerous risks and uncertainties associated with product development, we may never achieve or sustain profitability, and unless we are able to do so, we will need to continue to raise additional capital.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and planned activities, as we:</w:t>
      </w:r>
    </w:p>
    <w:p>
      <w:pPr>
        <w:spacing w:after="0" w:line="117"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clinical-stage product candidates, including EIK1001, EIK1003, EIK1004, and EIK1005;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internal development of our preclinical assets, including EIK1006 and our ARv7 programs;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the manufacturing of preclinical and clinical supply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development, and if that development is successful in producing sufficient evidence of safety and efficacy, then seek regulatory approvals for any of our current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manufacturing, and distribution infrastructure to commercialize any product candidates for which we may obtain marketing approval,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commercial, and management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8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prosecute, protect, maintain, enforce, and expand our rights in our intellectual property portfolio or acquire or in-license intellectual property and technologies from third parties;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any delays in our preclinical studies or clinical trials and regulatory approval negotiations for our product candidates, including as a result of macroeconomic conditions, geopolitical conflicts, or other factors;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costs associated with operating as a public company.</w:t>
      </w:r>
    </w:p>
    <w:p>
      <w:pPr>
        <w:spacing w:after="0" w:line="162"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We do not currently own or operate any manufacturing facilities. We rely on CMOs to produce our product candidates in accordance with the FDA’s cGMPs, as well as such cGMPs as may be required in other jurisdictions in which we conduct our clinical trials, for use in our clinical trials.</w:t>
      </w:r>
    </w:p>
    <w:p>
      <w:pPr>
        <w:spacing w:after="0" w:line="14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in drug discovery, development of future technology, and the conduct of clinical trials. These expenses consist of compensation expenses, including stock- based compensation expenses, direct research, and development expenses such as software development costs related to research and development activities, laboratory supplies, costs associated with conducting clinical trials at domestic and international sites, fees paid to CMOs and CROs, professional fees for consulting and related services, depreciation and amortization, facility and information technology expenses, and other miscellaneous expenses. We expense all research and development costs in the periods in which they are incurred.</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Where possible, we do not outsource primary responsibility for the conduct of our clinical trials to CROs. While we still rely on CROs for certain support, we believe that conducting our clinical trials ourselves offers significant advantages relating to quality, efficiency, and continuity. As of December 31, 2025, we had 146 employees primarily engaged in clinical development activities.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programs and new and ongoing clinical trials on our product candidates. As a result, we expect that research and development expenses will increase in absolute dollars for the foreseeable future as we continue to invest to support these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including stock-based compensation expenses, for personnel in executive, finance, human resources, legal, information technology, and other corporate administrative functions, professional fees for legal and audit services, depreciation and amortization, facility and information technology expenses, and other miscellaneous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4"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in absolute dollars for the foreseeable future, primarily due to increased headcount and costs associated with operating as a public company, including expenses related to legal, accounting, and regulatory functions as well as costs associated with maintaining compliance with exchange listing and SEC requirements, director and officer insurance premiums, and investor relations.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on additional tenant improvement allowances drawn on our operating leases.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realized and unrealized gains and losses on foreign currency transactions.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250,318</w:t>
            </w:r>
          </w:p>
        </w:tc>
        <w:tc>
          <w:tcPr>
            <w:tcW w:w="2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204,536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338,945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260,343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(338,945)</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(260,343)</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(78,602)</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w:t>
            </w:r>
          </w:p>
        </w:tc>
      </w:tr>
      <w:tr>
        <w:trPr>
          <w:trHeight w:val="20"/>
        </w:trPr>
        <w:tc>
          <w:tcPr>
            <w:tcW w:w="5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(324,248)</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(243,814)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(80,434)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-873760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-873760</wp:posOffset>
            </wp:positionV>
            <wp:extent cx="59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-873760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9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engineering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130,433</w:t>
            </w:r>
          </w:p>
        </w:tc>
        <w:tc>
          <w:tcPr>
            <w:tcW w:w="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130,114</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Clinical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(2,250)</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1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250,318</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204,536</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Research and development expenses were $250.3 million for the year ended December 31, 2025 compared to $204.5 million for the year ended December 31, 2024, an increase of $45.8 million, or 22%. Direct research and development expenses increased $21.2 million as we advanced our clinical trial activity. Facility and information technology expenses increased $13.7 million from higher rent, utilities and common area maintenance charges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0" w:name="page171"/>
    <w:bookmarkEnd w:id="170"/>
    <w:p>
      <w:pPr>
        <w:spacing w:after="0" w:line="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the occupation of our new Millbrae headquarters in April 2025. Compensation costs were $8.5 million higher from headcount growth in research and development cost centers and higher corporate bonuses, and other operating expenses were $3.5 million higher, mainly due to $3.1 million of restructuring expenses. These increases were partially offset by $2.1 million lower depreciation expense.</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our internal research and development expenses by individual projects. With respect to our external programs, we allocate some project-specific research and development expenses by vendor, but we do not allocate such expenses to each project specifically where it relates to more than one project. As a result, we do not provide a project-by-project breakdown of research and development expenses, as the majority of such expenses have not been allocated by individual projects.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5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88,627</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$88.6 million for the year ended December 31, 2025, compared to $55.8 million for the year ended December 31, 2024, an increase of $32.8 million, or 59%. This increase was primarily due to the impairment of $11.0 million of property and equipment and $10.3 million of operating lease right-of-use assets relating to properties in Hayward, California and New York, New York that we vacated during the year. Compensation costs were $5.3 million higher, mainly from stock modification charges from the repricing of certain stock options and higher corporate bonuses, and depreciation was $3.8 million higher following the occupation of our Millbrae headquarters in April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$15.6 million for the year ended December 31, 2025 compared to $16.6 million for the year ended December 31, 2024, a decrease of $1.0 million, or 6%. This decrease was primarily due to lower interest rates on our investment balances in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primarily funded our operations through the sale of shares of our redeemable convertible preferred stock and more recently, through our initial public offering. We have not generated any revenue from product sales and have incurred significant annual operating losses and negative cash flows from our operations. As of December 31, 2025, we had $336.0 million in cash, cash equivalents, and marketable securities.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February 6, 2026, we closed our initial public offering and issued 21,177,600 shares of our common stock at a price of $18.00 per share for net proceeds of approximately $349.0 million, after deducting underwriting discounts and commissions of $26.7 million and expenses of $5.5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product candidates both organically and inorganically, engage in future collaborations, and support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1" w:name="page172"/>
    <w:bookmarkEnd w:id="171"/>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operations, which consist primarily of research, engineering, and development expenditures related to our discovery and clinical programs, and general and administrative expenditures. Cash used to fund operating expenses is affected by the time at which we recognize these expenses, as reflected in the change in our outstanding accounts payable, accrued expenses, and prepaid expenses.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annual operating losses and negative cash flows since our inception. As of December 31, 2025, we had an accumulated deficit of $920.5 million. Based on our current operating plan, we estimate that our existing cash, cash equivalents, and marketable securities as of the date of this Annual Report, including the net proceeds from our initial public offering, will be sufficient to fund our operating expenses and capital expenditures for at least the next 12 months from the issuance of the audited financial statements included elsewhere in this Annual Report and into the second half of 2027. We have based this estimate on our current assumptions, which may prove to be wrong, and we may exhaust our available capital resources sooner than we expect.</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forecast of cash resources and planned operations involves risks and uncertainties, and the actual amount of expenses could vary materially as a result of a number of factors, including:</w:t>
      </w:r>
    </w:p>
    <w:p>
      <w:pPr>
        <w:spacing w:after="0" w:line="54" w:lineRule="exact"/>
        <w:rPr>
          <w:sz w:val="20"/>
          <w:szCs w:val="20"/>
          <w:color w:val="auto"/>
        </w:rPr>
      </w:pPr>
    </w:p>
    <w:p>
      <w:pPr>
        <w:ind w:left="1020" w:right="1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engineering, preclinical development, laboratory testing, and planned clinical trials for our current or future product candidates, including additional expenses attributable to adjusting our development plans;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 and clinical trials required for regulatory approval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 or license agreements and the achievement of milestones or occurrence of other developments that trigger payments under any existing or additional collaboration or license agreements, and our ability to identify and enter into future license agreements and collaborations;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licenses;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invest in our drug discovery efforts and tools designed to identify novel targets and drugs, including our technology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number of our employees and expansion of our physical facilities to support preclinical studies and clinical trials;</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including expenses related to legal, accounting, and regulatory activities, as well as costs associated with director and officer insurance premiums, investor relations support, and maintaining compliance with exchange listing and SEC requirements;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and commercial production and establishing or contracting for sales and marketing capabilities, if we obtain regulatory clearances to market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fulfillment, for any of our product candidates for which we receive marketing approvals;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86" w:lineRule="exact"/>
        <w:rPr>
          <w:sz w:val="20"/>
          <w:szCs w:val="20"/>
          <w:color w:val="auto"/>
        </w:rPr>
      </w:pPr>
    </w:p>
    <w:p>
      <w:pPr>
        <w:ind w:left="1020" w:right="2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adequate coverage, and reimbursement from third-party payors, and sufficient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tariffs, as well as other factors, including economic uncertainty and geopolitical tensions, which may exacerbate the magnitude of the factors discussed above.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or a combination of the above, any of which may have a material adverse effect on our business, results of operations,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6"/>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3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(188,516)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(134,799)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(53,717)</w:t>
            </w: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(used in)/provided by investing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(332,693)</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352,053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351,809</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144,184%</w:t>
            </w:r>
          </w:p>
        </w:tc>
        <w:tc>
          <w:tcPr>
            <w:tcW w:w="0" w:type="dxa"/>
            <w:vAlign w:val="bottom"/>
          </w:tcPr>
          <w:p>
            <w:pPr>
              <w:spacing w:after="0"/>
              <w:rPr>
                <w:sz w:val="1"/>
                <w:szCs w:val="1"/>
                <w:color w:val="auto"/>
              </w:rPr>
            </w:pPr>
          </w:p>
        </w:tc>
      </w:tr>
      <w:tr>
        <w:trPr>
          <w:trHeight w:val="191"/>
        </w:trPr>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(decrease)/increase in cash, cash</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(17,806)</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22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(34,601)</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-281940</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-281940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$188.5 million, which resulted from a net loss of $324.2 million, partially offset by non-cash charges of $57.9 million and a net change in our operating assets and liabilities of $77.8 million. Non-cash charges primarily consisted of $18.9 million of depreciation and amortization, $18.0 million of stock-based compensation, and the impairment of $11.0 million and $10.3 million of property and equipment and operating lease right-of-use assets, respectively, primarily relating to our Hayward, California properties that we vacated when we moved into our new Millbrae, California corporate headquarters in April 2025. The net change in our operating assets and liabilities was primarily the result of a $66.8 million increase in operating lease liabilities and a $16.6 million increase in accrued expenses and other current liabilities.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3" w:name="page174"/>
    <w:bookmarkEnd w:id="173"/>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$134.5 million, which resulted from a net loss of $243.8 million, partially offset by non-cash charges of $28.4 million and a net change in our operating assets and liabilities of $80.6 million. Non-cash charges primarily consisted of $15.0 million of depreciation and amortization and $12.4 million of stock-based compensation and the net change in our operating assets and liabilities was primarily the result of a $70.8 million increase in operating lease liabilities from the Millbrae and Jersey City leases that commenced in 2024, a $5.2 million increase in accrued expenses and other current liabilities and a $4.9 million increase in other non-current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$181.3 million, which primarily consisted of $444.1 million of purchases of marketable securities and $46.7 million of payments for property and equipment purchases, partially offset by $309.5 million of proceeds from the maturities of our marketable securities.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$151.4 million, which consisted of $596.5 million of proceeds from the maturities of our marketable securities, partially offset by $360.3 million of purchases of marketable securities and $84.8 million of property and equipment purchases, primarily the construction of leasehold improvements for our new headquarters in Millbrae, California.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$352.1 million, from net proceeds of $350.2 million from the issuance of redeemable convertible preferred stock and $1.9 million from the issuance of common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$0.2 million from the issuance of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and Collaboration Agreements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of this Annual Report titled “</w:t>
      </w:r>
      <w:r>
        <w:rPr>
          <w:rFonts w:ascii="Times New Roman" w:cs="Times New Roman" w:eastAsia="Times New Roman" w:hAnsi="Times New Roman"/>
          <w:sz w:val="18"/>
          <w:szCs w:val="18"/>
          <w:i w:val="1"/>
          <w:iCs w:val="1"/>
          <w:color w:val="auto"/>
        </w:rPr>
        <w:t>Business—License and Collaboration Agreements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and License and Development Agreements with Seven and Eight and SW</w:t>
      </w:r>
    </w:p>
    <w:p>
      <w:pPr>
        <w:spacing w:after="0" w:line="119"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On March 29, 2023, we entered into an Exclusive Collaboration Agreement, or the Seven and Eight Collaboration Agreement, with Seven and Eight, and an Exclusive License and Development Agreement, or the SW License Agreement, with Seven and Eight and SW. Under each agreement, Seven and Eight and SW granted us a worldwide, exclusive license under certain of their patents, know-how, and other intellectual property rights to develop and commercialize certain toll-like receptor 7 and 8 agonist product candidates, including our product candidate, EIK1001.</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paid Seven and Eight and SW aggregate upfront payments of $11.0 million in cash ($10.5 million to Seven and Eight and $0.5 million to SW), and issued two Simple Agreements for Future Equity, or SAFEs, equal to $35.0 million ($31.5 million to Seven and Eight and $3.5 million to SW) upon entering into the applicable agreement. We have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We have also agreed to pay SW additional milestone payments in the amount of up to $29.4 million and $350.0 million upon the achievement of certain regulatory and commercial milestones, respectively.</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4" w:name="page175"/>
    <w:bookmarkEnd w:id="17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Agreement with Impact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May 10, 2023, we entered into a Collaboration Agreement, which was amended and restated on November 22, 2023, and further amended on December 12, 2024, or, collectively, the Impact Agreement, with Impact. Pursuant to the Impact Agreement,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paid an upfront fee of $31.5 million in cash to Impact. We are also required to make payments to Impact of up to $181.0 million and $775.0 million upon the achievement of certain development and regulatory milestones and commercial milestones, respectively. In addition, tiered royalties of high single-digit to low-teen percentages of net sales per calendar year, subject to certain reductions, are also payable by us to Impact post-commercialization.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 Collaboration and Supply Agreement with MSD</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Clinical Trial Collaboration and Supply Agreements, or the MSD Agreements, with MSD International Business GmbH, or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NSCLC (dated December 5, 2025). Pursuant to the MSD Agreements, we and MSD agreed to collaborate on these clinical trials evaluating the safety and efficacy of our compounds in combination with MSD’s compound, pembrolizumab. Under the MSD Agreements, we act as the sponsor of the clinical trials at our own costs and MSD has agreed to supply to us, at its own cost, pembrolizumab for use in such trials. Pursuant to the MSD Agreements, we and MSD must each use commercially reasonable efforts to supply our applicable compounds for use in the portions of the clinical trials in which patients are intended to receive pembrolizumab either alone or in combination with one or more treatments, in accordance with the applicable study protocol.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June 2022, we entered into an operating lease agreement for our new corporate headquarters located in Millbrae, California, expiring in 2040. We are also party to several operating leases for office and lab space in Hayward, California, New York, New York, and Jersey City, New Jersey. As of December 31, 2025, our non-cancellable lease obligations were $562.0 million under our operating leases, of which $41.4 million are due in 2026. Refer to Note 6 to our audited financial statements included elsewhere in this Annual Report for more information on our lease obligations.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Agreements</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enter into license and collaboration agreements in the normal course of business in order to obtain rights to promising product candidates, advance product development, and obtain technologies and services related to our business. For example, our product candidates, EIK1001, EIK1003, and EIK1004, were in-licensed pursuant to license and collaboration agreements with third parties. We could be required to make payments related to development and regulatory milestones of up to $630.0 million, and sales milestones of at most $1.1 billion, alongside tiered royalty payments to licensors based on the net sales of the licensed products of high single-digit to low-teen percentages. We cannot estimate when such payments will be due. To date, we have incurred $88.0 million in upfront and milestone payments under these agreements. See Notes 11 and 12 to our audited financial statements included elsewhere in this Annual Report for additional details on our material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became known. Actual results may differ from these estimates under different assumptions or conditions.</w:t>
      </w:r>
    </w:p>
    <w:p>
      <w:pPr>
        <w:spacing w:after="0" w:line="19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Although our significant accounting policies are described in more detail in Note 2 to our audited financial statements included elsewhere in this Annual Report, we believe that the following accounting estimates are those most critical to the judgments and estimates used in the preparation of our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and Accruals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These expenses consist of compensation expenses, direct research and development expenses, such as software development costs related to research and development activities, laboratory supplies, costs associated with setting up and conducting clinical studies at domestic and international sites, professional fees, depreciation and amortization, other miscellaneous expenses, and allocations of facilities and information technology expenses.</w:t>
      </w:r>
    </w:p>
    <w:p>
      <w:pPr>
        <w:spacing w:after="0" w:line="1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our research and development activities conducted by third-party service providers. We accrue these costs based on factors such as estimates of the work completed and in accordance with the third-party service agreements. If we do not identify costs that have begun to be incurred or if we underestimate or overestimate the level of services performed or the costs of these services, actual expenses could differ from the estimates. To date, we have not experienced any material differences between accrued costs and actual costs incurred.</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The prepaid amounts are expensed as the related goods are delivered or the services are performed, and are classified as current or non-current prepaid expenses and other assets.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make payments in connection with clinical trials to contract manufacturing organizations that manufacture the materials for our product candidates, and to clinical research organizations and clinical trial sites that help to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time-and-materials basis. We make estimates of accrued research and development expenses as of each balance sheet date based on facts and circumstances known at that time. We confirm the accuracy of our estimates with the service provider, and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and other current liabilities on the balance sheet. If the actual timing of the performance of services or the level of effort varies from the original estimates, we will adjust the accrual accordingly.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stock-based awards issued to employees and nonemployees, we measure the estimated fair value of the stock-based awards on the date of grant and recognize compensation expense for those awards over the requisite service period, which is generally the vesting period of the respective awards. We record the expense for awards with service-based vesting using the straight-line, ratable attribution method and account for forfeitures as they occur.</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We estimate our expected stock volatility based on the historical volatility of a publicly traded set of peer companies, and expect to continue to do so until such time as we have adequate historical data regarding the volatility of our own traded stock price. The expected term represents the weighted-average period the stock options are expected to remain outstanding and is based on the options’ vesting terms and contractual terms, as we do not have sufficient historical information to develop reasonable expectations about future exercise patterns and post-vesting employment termination behavior.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and do not expect to pay any cash dividends in the foreseeable future.</w:t>
      </w:r>
    </w:p>
    <w:p>
      <w:pPr>
        <w:spacing w:after="0" w:line="19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statements of operations and comprehensive loss in the same manner in which the award recipient’s cash compensation costs are classified.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 Common Stock Warrants and Redeemable Convertible Preferred Stock</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common stock underlying stock options on the date of grant. This has historically been determined by management with assistance from external appraisers and approved by our Board. Due to the absence of an active market for our common stock, we have utilized methodologies in accordance with the framework of the American Institute of Certified Public Accountants Technical Practice Aid, Valuation of Privately-Held Company Equity Securities Issued as Compensation, to estimate the fair value of our common stock.</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common stock valuations prior to May 31, 2025 were performed using the Option Pricing Method, or OPM, as it was deemed the most appropriate method based on our stage of development and other relevant factors. Within the OPM framework, the backsolve method for inferring the total equity value implied by a recent financing transaction involves the construction of an allocation model that takes into account the entity’s capital structure and the rights, preferences, and privileges of each class of stock, then assumes reasonable inputs for the other OPM variables (inclusive of discount for lack of marketability, volatility, the expected time to liquidity,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Among other factors considered are the entity’s financial position and historical financial performance, the status of technological developments within the entity’s research, the composition and ability of the current research and management team, an evaluation or benchmark of the entity’s competition, and the current business climate in the marketplace. Significant changes to the key assumptions underlying the factors used could result in different fair values of common stock at each valuation date.</w:t>
      </w:r>
    </w:p>
    <w:p>
      <w:pPr>
        <w:spacing w:after="0" w:line="19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common stock, common stock warrants and redeemable convertible preferred stock valuations from May 31, 2025 through the date of our initial public offering were performed using a hybrid method that combines the OPM and the probability-weighted expected return method, or PWERM. The PWERM employs additional information not used in the OPM, including various market approach calculations depending upon the likelihood of various discrete future liquidity scenarios, such as an initial public offering or sale of the enterprise, as well as the probability of remaining a private company. In a hybrid method, various exit scenarios are analyzed. A discount for lack of marketability of our common stock and redeemable convertible preferred stock is then applied to arrive at an indication of value for the common stock and redeemable convertible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our periodic reports and proxy statements, in addition to any required unaudited condensed financial statements, with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Annual Report,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being permitted to take advantage of an extended transition period for complying with new or revised accounting standards, which allows us to delay the adoption of certain accounting standards until those standards would otherwise apply to private companies.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and have elected to avail ourselves of the exemption from the requirement to communicate critical audit matters, or CAMs. As a result of these decisions, our financial statements may not be comparable to those of other public companies that comply with new or revised accounting pronouncements as of public company effective dates, and include a discussion of their CAMs. We may choose to adopt any new or revised accounting standards whenever early adoption is permitted for private companies.</w:t>
      </w:r>
    </w:p>
    <w:p>
      <w:pPr>
        <w:spacing w:after="0" w:line="188"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we have reduced disclosure obligations regarding executive compensation.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provided in Note 2 to our audited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As of December 31, 2025, we had $85.0 million in cash equivalents, comprising interest bearing money market accounts, and $231.1 million in marketable securities. Our exposure to interest rate sensitivity is affected by changes in the underlying bank interest rates. We have not entered into investments for trading or speculative purposes, and our marketable securities are held to maturity. Although an immediate, one percentage point change in interest rates would have a material effect on the fair market value of our portfolio due to the size of our portfolio, because held-to-maturity investments are reported at amortized cost, we do not expect our operating results or cash flows to be significantly affected by changes in market interest rates. As of December 31, 2025, we had no debt outstanding that is subject to interest rate variability. Therefore, we are not subject to interest rate risk related to debt.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employees and our operations are currently predominantly located in the United States and our expenses are generally denominated in U.S. dollars. However, we do use research and development vendors outside of the United States. As such, our expenses are denominated in both U.S. dollars and foreign currencies. All monetary assets and liabilities denominated in a foreign currency are translated into U.S. dollars at the exchange rate prevailing on the balance sheet date. Non-monetary assets and liabilities are translated using the exchange rate that was in effect when the asset or liability was initially recognized. Expenses are translated at the average exchange rates prevailing during the applicable period. Our operations are, and will continue to be subject to fluctuations in foreign currency exchange rates. Foreign currency transaction gains and losses are included in other income (expense), net in the statements of operations and comprehensive loss as incurred.</w:t>
      </w:r>
    </w:p>
    <w:p>
      <w:pPr>
        <w:spacing w:after="0" w:line="18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service, material, and overhead costs, which could impair our operating results. Although we do not believe that inflation has had a material impact on our financial position or operating results to date, a high rate of inflation in the future may have an adverse effect on our business, results of operations, or financial condition, or on our financial statements.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140" w:type="dxa"/>
            <w:vAlign w:val="bottom"/>
          </w:tcPr>
          <w:p>
            <w:pPr>
              <w:spacing w:after="0"/>
              <w:rPr>
                <w:sz w:val="20"/>
                <w:szCs w:val="20"/>
                <w:color w:val="auto"/>
              </w:rPr>
            </w:pPr>
          </w:p>
        </w:tc>
      </w:tr>
      <w:tr>
        <w:trPr>
          <w:trHeight w:val="410"/>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Eikon Therapeutics, Inc.</w:t>
            </w:r>
          </w:p>
        </w:tc>
        <w:tc>
          <w:tcPr>
            <w:tcW w:w="214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40" w:type="dxa"/>
            <w:vAlign w:val="bottom"/>
          </w:tcPr>
          <w:p>
            <w:pPr>
              <w:spacing w:after="0"/>
              <w:rPr>
                <w:sz w:val="20"/>
                <w:szCs w:val="20"/>
                <w:color w:val="auto"/>
              </w:rPr>
            </w:pPr>
          </w:p>
        </w:tc>
      </w:tr>
      <w:tr>
        <w:trPr>
          <w:trHeight w:val="414"/>
        </w:trPr>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2025 and 2024</w:t>
            </w:r>
          </w:p>
        </w:tc>
        <w:tc>
          <w:tcPr>
            <w:tcW w:w="2140" w:type="dxa"/>
            <w:vAlign w:val="bottom"/>
          </w:tcPr>
          <w:p>
            <w:pPr>
              <w:spacing w:after="0"/>
              <w:rPr>
                <w:sz w:val="24"/>
                <w:szCs w:val="24"/>
                <w:color w:val="auto"/>
              </w:rPr>
            </w:pPr>
          </w:p>
        </w:tc>
      </w:tr>
      <w:tr>
        <w:trPr>
          <w:trHeight w:val="194"/>
        </w:trPr>
        <w:tc>
          <w:tcPr>
            <w:tcW w:w="9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178</w:t>
            </w:r>
          </w:p>
        </w:tc>
      </w:tr>
      <w:tr>
        <w:trPr>
          <w:trHeight w:val="196"/>
        </w:trPr>
        <w:tc>
          <w:tcPr>
            <w:tcW w:w="380" w:type="dxa"/>
            <w:vAlign w:val="bottom"/>
            <w:tcBorders>
              <w:top w:val="single" w:sz="8" w:color="0000FF"/>
            </w:tcBorders>
          </w:tcPr>
          <w:p>
            <w:pPr>
              <w:spacing w:after="0"/>
              <w:rPr>
                <w:sz w:val="17"/>
                <w:szCs w:val="17"/>
                <w:color w:val="auto"/>
              </w:rPr>
            </w:pPr>
          </w:p>
        </w:tc>
        <w:tc>
          <w:tcPr>
            <w:tcW w:w="38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488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Statements of Operations and Comprehensive Loss</w:t>
            </w:r>
          </w:p>
        </w:tc>
        <w:tc>
          <w:tcPr>
            <w:tcW w:w="5060" w:type="dxa"/>
            <w:vAlign w:val="bottom"/>
            <w:gridSpan w:val="3"/>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r>
      <w:tr>
        <w:trPr>
          <w:trHeight w:val="196"/>
        </w:trPr>
        <w:tc>
          <w:tcPr>
            <w:tcW w:w="380" w:type="dxa"/>
            <w:vAlign w:val="bottom"/>
          </w:tcPr>
          <w:p>
            <w:pPr>
              <w:spacing w:after="0"/>
              <w:rPr>
                <w:sz w:val="17"/>
                <w:szCs w:val="17"/>
                <w:color w:val="auto"/>
              </w:rPr>
            </w:pPr>
          </w:p>
        </w:tc>
        <w:tc>
          <w:tcPr>
            <w:tcW w:w="8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Redeemable Convertible Preferred Stock and Stockholders’ Deficit</w:t>
            </w: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196"/>
        </w:trPr>
        <w:tc>
          <w:tcPr>
            <w:tcW w:w="380" w:type="dxa"/>
            <w:vAlign w:val="bottom"/>
          </w:tcPr>
          <w:p>
            <w:pPr>
              <w:spacing w:after="0"/>
              <w:rPr>
                <w:sz w:val="17"/>
                <w:szCs w:val="17"/>
                <w:color w:val="auto"/>
              </w:rPr>
            </w:pPr>
          </w:p>
        </w:tc>
        <w:tc>
          <w:tcPr>
            <w:tcW w:w="58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288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885"/>
        </w:trPr>
        <w:tc>
          <w:tcPr>
            <w:tcW w:w="380" w:type="dxa"/>
            <w:vAlign w:val="bottom"/>
          </w:tcPr>
          <w:p>
            <w:pPr>
              <w:spacing w:after="0"/>
              <w:rPr>
                <w:sz w:val="24"/>
                <w:szCs w:val="24"/>
                <w:color w:val="auto"/>
              </w:rPr>
            </w:pPr>
          </w:p>
        </w:tc>
        <w:tc>
          <w:tcPr>
            <w:tcW w:w="2120" w:type="dxa"/>
            <w:vAlign w:val="bottom"/>
            <w:tcBorders>
              <w:top w:val="single" w:sz="8" w:color="0000FF"/>
            </w:tcBorders>
            <w:gridSpan w:val="3"/>
          </w:tcPr>
          <w:p>
            <w:pPr>
              <w:spacing w:after="0"/>
              <w:rPr>
                <w:sz w:val="24"/>
                <w:szCs w:val="24"/>
                <w:color w:val="auto"/>
              </w:rPr>
            </w:pPr>
          </w:p>
        </w:tc>
        <w:tc>
          <w:tcPr>
            <w:tcW w:w="3720" w:type="dxa"/>
            <w:vAlign w:val="bottom"/>
            <w:gridSpan w:val="3"/>
          </w:tcPr>
          <w:p>
            <w:pPr>
              <w:jc w:val="center"/>
              <w:ind w:left="2430"/>
              <w:spacing w:after="0"/>
              <w:rPr>
                <w:sz w:val="20"/>
                <w:szCs w:val="20"/>
                <w:color w:val="auto"/>
              </w:rPr>
            </w:pPr>
            <w:r>
              <w:rPr>
                <w:rFonts w:ascii="Times New Roman" w:cs="Times New Roman" w:eastAsia="Times New Roman" w:hAnsi="Times New Roman"/>
                <w:sz w:val="18"/>
                <w:szCs w:val="18"/>
                <w:color w:val="auto"/>
              </w:rPr>
              <w:t>177</w:t>
            </w:r>
          </w:p>
        </w:tc>
        <w:tc>
          <w:tcPr>
            <w:tcW w:w="28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Eikon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Eikon Therapeutics, Inc. (the “Company”) as of December 31, 2025 and 2024, and the related statements of operations and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594,734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w:t>
            </w: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312,298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262,597,889</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authorized, 222,658,133 shares issued and outstanding, and</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aggregate liquidation preference of $1,159,762 as of December 31, 2025</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153,833,885 shares authorized, 135,087,291 shares issued and</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and aggregate liquidation preference of $809,062 as of</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1,161,470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340,650,000 shares authorized and</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3,068,490 shares issued and outstanding as of December 31, 2025 and</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228,115,226 shares authorized and 2,869,760 shares issued and</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(920,509)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(604,941)</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(879,034)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(571,930)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60" w:type="dxa"/>
            <w:vAlign w:val="bottom"/>
            <w:shd w:val="clear" w:color="auto" w:fill="CFF0FC"/>
          </w:tcPr>
          <w:p>
            <w:pPr>
              <w:ind w:left="280"/>
              <w:spacing w:after="0" w:line="191"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118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594,734</w:t>
            </w:r>
          </w:p>
        </w:tc>
        <w:tc>
          <w:tcPr>
            <w:tcW w:w="160" w:type="dxa"/>
            <w:vAlign w:val="bottom"/>
            <w:shd w:val="clear" w:color="auto" w:fill="CFF0FC"/>
          </w:tcPr>
          <w:p>
            <w:pPr>
              <w:spacing w:after="0"/>
              <w:rPr>
                <w:sz w:val="16"/>
                <w:szCs w:val="16"/>
                <w:color w:val="auto"/>
              </w:rPr>
            </w:pP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60" w:type="dxa"/>
            <w:vAlign w:val="bottom"/>
            <w:shd w:val="clear" w:color="auto" w:fill="CFF0FC"/>
          </w:tcPr>
          <w:p>
            <w:pPr>
              <w:ind w:left="420"/>
              <w:spacing w:after="0" w:line="194" w:lineRule="exact"/>
              <w:rPr>
                <w:sz w:val="20"/>
                <w:szCs w:val="20"/>
                <w:color w:val="auto"/>
              </w:rPr>
            </w:pPr>
            <w:r>
              <w:rPr>
                <w:rFonts w:ascii="Times New Roman" w:cs="Times New Roman" w:eastAsia="Times New Roman" w:hAnsi="Times New Roman"/>
                <w:sz w:val="18"/>
                <w:szCs w:val="18"/>
                <w:color w:val="auto"/>
              </w:rPr>
              <w:t>stockholders’ deficit</w:t>
            </w:r>
          </w:p>
        </w:tc>
        <w:tc>
          <w:tcPr>
            <w:tcW w:w="11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-3917315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-3917315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-2922905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-2922905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-2357120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250,318</w:t>
            </w:r>
          </w:p>
        </w:tc>
        <w:tc>
          <w:tcPr>
            <w:tcW w:w="16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(338,945)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(260,343)</w:t>
            </w: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(324,248)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(243,814)</w:t>
            </w: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preferred stock extinguishments and modifications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(333,644)</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(243,814)</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1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(115.29)</w:t>
            </w:r>
          </w:p>
        </w:tc>
        <w:tc>
          <w:tcPr>
            <w:tcW w:w="4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w:t>
            </w:r>
          </w:p>
        </w:tc>
        <w:tc>
          <w:tcPr>
            <w:tcW w:w="1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2,893,916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2,519,668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3320" w:type="dxa"/>
            <w:vAlign w:val="bottom"/>
          </w:tcPr>
          <w:p>
            <w:pPr>
              <w:spacing w:after="0"/>
              <w:rPr>
                <w:sz w:val="2"/>
                <w:szCs w:val="2"/>
                <w:color w:val="auto"/>
              </w:rPr>
            </w:pPr>
          </w:p>
        </w:tc>
        <w:tc>
          <w:tcPr>
            <w:tcW w:w="208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2"/>
        </w:trPr>
        <w:tc>
          <w:tcPr>
            <w:tcW w:w="332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8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Balances as of December 31, 2023</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135,087,291</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808,221</w:t>
            </w: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2,832,598</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50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19,754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(361,127)</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(341,373)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Vesting of early exercised stock options and</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restricted 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(243,814)</w:t>
            </w: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(243,814)</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Balances as of December 31, 2024</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135,087,291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808,221</w:t>
            </w: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2,869,760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33,011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(604,941)</w:t>
            </w:r>
          </w:p>
        </w:tc>
        <w:tc>
          <w:tcPr>
            <w:tcW w:w="140" w:type="dxa"/>
            <w:vAlign w:val="bottom"/>
          </w:tcPr>
          <w:p>
            <w:pPr>
              <w:spacing w:after="0"/>
              <w:rPr>
                <w:sz w:val="11"/>
                <w:szCs w:val="11"/>
                <w:color w:val="auto"/>
              </w:rPr>
            </w:pPr>
          </w:p>
        </w:tc>
        <w:tc>
          <w:tcPr>
            <w:tcW w:w="11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(571,930)</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D redeemable convertible</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preferred stock, net of issuance costs of</w:t>
            </w: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$547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60,005,669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350,153</w:t>
            </w:r>
          </w:p>
        </w:tc>
        <w:tc>
          <w:tcPr>
            <w:tcW w:w="220" w:type="dxa"/>
            <w:vAlign w:val="bottom"/>
            <w:shd w:val="clear" w:color="auto" w:fill="CFF0FC"/>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B-1 and C-1 redeemable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convertible preferred stock and common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 warrants in exchange for</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extinguished Series B and C redeemable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19,977,824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(8,566)</w:t>
            </w:r>
          </w:p>
        </w:tc>
        <w:tc>
          <w:tcPr>
            <w:tcW w:w="2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B-1 and C-1 redeemable</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convertible preferred stock in exchange</w:t>
            </w: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for modified Series B and C redeemable</w:t>
            </w: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7,587,349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11,662</w:t>
            </w:r>
          </w:p>
        </w:tc>
        <w:tc>
          <w:tcPr>
            <w:tcW w:w="220" w:type="dxa"/>
            <w:vAlign w:val="bottom"/>
            <w:shd w:val="clear" w:color="auto" w:fill="CFF0FC"/>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(11,662)</w:t>
            </w: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(11,662)</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200,267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(1,537)</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Vesting of early exercised stock options and</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restricted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18,036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(324,248)</w:t>
            </w:r>
          </w:p>
        </w:tc>
        <w:tc>
          <w:tcPr>
            <w:tcW w:w="14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(324,248)</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Balances as of December 31, 2025</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222,658,133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1,161,470</w:t>
            </w: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3,068,490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41,475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(920,509)</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(879,034)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-1842770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-1842770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-1842770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-1842770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-1842770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-1842770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-25400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80" w:type="dxa"/>
            <w:vAlign w:val="bottom"/>
            <w:gridSpan w:val="2"/>
          </w:tcPr>
          <w:p>
            <w:pPr>
              <w:jc w:val="right"/>
              <w:ind w:right="8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(324,248)</w:t>
            </w: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(243,814)</w:t>
            </w: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18,872</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18,036</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5,304</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premiums and accretion of discounts on marketable securities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(5,541)</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(9,456)</w:t>
            </w: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10,951</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(1,366)</w:t>
            </w:r>
          </w:p>
        </w:tc>
        <w:tc>
          <w:tcPr>
            <w:tcW w:w="0" w:type="dxa"/>
            <w:vAlign w:val="bottom"/>
          </w:tcPr>
          <w:p>
            <w:pPr>
              <w:spacing w:after="0"/>
              <w:rPr>
                <w:sz w:val="1"/>
                <w:szCs w:val="1"/>
                <w:color w:val="auto"/>
              </w:rPr>
            </w:pPr>
          </w:p>
        </w:tc>
      </w:tr>
      <w:tr>
        <w:trPr>
          <w:trHeight w:val="148"/>
        </w:trPr>
        <w:tc>
          <w:tcPr>
            <w:tcW w:w="6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(1,263)</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(3,813)</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16,616</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66,770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70,808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3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(188,516)</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(134,799)</w:t>
            </w:r>
          </w:p>
        </w:tc>
        <w:tc>
          <w:tcPr>
            <w:tcW w:w="0" w:type="dxa"/>
            <w:vAlign w:val="bottom"/>
          </w:tcPr>
          <w:p>
            <w:pPr>
              <w:spacing w:after="0"/>
              <w:rPr>
                <w:sz w:val="1"/>
                <w:szCs w:val="1"/>
                <w:color w:val="auto"/>
              </w:rPr>
            </w:pPr>
          </w:p>
        </w:tc>
      </w:tr>
      <w:tr>
        <w:trPr>
          <w:trHeight w:val="291"/>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30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(46,741)</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(84,803)</w:t>
            </w:r>
          </w:p>
        </w:tc>
        <w:tc>
          <w:tcPr>
            <w:tcW w:w="0" w:type="dxa"/>
            <w:vAlign w:val="bottom"/>
          </w:tcPr>
          <w:p>
            <w:pPr>
              <w:spacing w:after="0"/>
              <w:rPr>
                <w:sz w:val="1"/>
                <w:szCs w:val="1"/>
                <w:color w:val="auto"/>
              </w:rPr>
            </w:pPr>
          </w:p>
        </w:tc>
      </w:tr>
      <w:tr>
        <w:trPr>
          <w:trHeight w:val="148"/>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(444,102)</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(360,347)</w:t>
            </w:r>
          </w:p>
        </w:tc>
        <w:tc>
          <w:tcPr>
            <w:tcW w:w="0" w:type="dxa"/>
            <w:vAlign w:val="bottom"/>
          </w:tcPr>
          <w:p>
            <w:pPr>
              <w:spacing w:after="0"/>
              <w:rPr>
                <w:sz w:val="1"/>
                <w:szCs w:val="1"/>
                <w:color w:val="auto"/>
              </w:rPr>
            </w:pPr>
          </w:p>
        </w:tc>
      </w:tr>
      <w:tr>
        <w:trPr>
          <w:trHeight w:val="148"/>
        </w:trPr>
        <w:tc>
          <w:tcPr>
            <w:tcW w:w="64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3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309,500</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in)/provided by investing activities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(181,343)</w:t>
            </w:r>
          </w:p>
        </w:tc>
        <w:tc>
          <w:tcPr>
            <w:tcW w:w="9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stock plans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Proceeds from issuance of redeemable convertible preferred stock, net of issuance</w:t>
            </w:r>
          </w:p>
        </w:tc>
        <w:tc>
          <w:tcPr>
            <w:tcW w:w="1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350,153</w:t>
            </w:r>
          </w:p>
        </w:tc>
        <w:tc>
          <w:tcPr>
            <w:tcW w:w="2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6420" w:type="dxa"/>
            <w:vAlign w:val="bottom"/>
            <w:shd w:val="clear" w:color="auto" w:fill="CFF0FC"/>
          </w:tcPr>
          <w:p>
            <w:pPr>
              <w:ind w:left="260"/>
              <w:spacing w:after="0" w:line="158" w:lineRule="exact"/>
              <w:rPr>
                <w:sz w:val="20"/>
                <w:szCs w:val="20"/>
                <w:color w:val="auto"/>
              </w:rPr>
            </w:pPr>
            <w:r>
              <w:rPr>
                <w:rFonts w:ascii="Times New Roman" w:cs="Times New Roman" w:eastAsia="Times New Roman" w:hAnsi="Times New Roman"/>
                <w:sz w:val="14"/>
                <w:szCs w:val="14"/>
                <w:color w:val="auto"/>
              </w:rPr>
              <w:t>costs</w:t>
            </w:r>
          </w:p>
        </w:tc>
        <w:tc>
          <w:tcPr>
            <w:tcW w:w="1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20" w:type="dxa"/>
            <w:vAlign w:val="bottom"/>
            <w:tcBorders>
              <w:top w:val="single" w:sz="8" w:color="CFF0FC"/>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00" w:type="dxa"/>
            <w:vAlign w:val="bottom"/>
            <w:tcBorders>
              <w:top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352,053</w:t>
            </w:r>
          </w:p>
        </w:tc>
        <w:tc>
          <w:tcPr>
            <w:tcW w:w="260" w:type="dxa"/>
            <w:vAlign w:val="bottom"/>
            <w:tcBorders>
              <w:top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(decrease)/increase in cash, cash equivalents and restricted cash</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(17,806)</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3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130,878</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113,072</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130,878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104,901</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3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8,171</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113,072</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130,878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80" w:type="dxa"/>
            <w:vAlign w:val="bottom"/>
            <w:gridSpan w:val="2"/>
            <w:shd w:val="clear" w:color="auto" w:fill="CFF0FC"/>
          </w:tcPr>
          <w:p>
            <w:pPr>
              <w:jc w:val="right"/>
              <w:ind w:right="8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22,077</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financing and investing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2280" w:type="dxa"/>
            <w:vAlign w:val="bottom"/>
            <w:gridSpan w:val="2"/>
          </w:tcPr>
          <w:p>
            <w:pPr>
              <w:jc w:val="right"/>
              <w:ind w:right="8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60" w:type="dxa"/>
            <w:vAlign w:val="bottom"/>
          </w:tcPr>
          <w:p>
            <w:pPr>
              <w:spacing w:after="0"/>
              <w:rPr>
                <w:sz w:val="12"/>
                <w:szCs w:val="12"/>
                <w:color w:val="auto"/>
              </w:rPr>
            </w:pP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(11,910)</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99,916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Vesting of early exercised stock options and restricted common stock</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-2956560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-1901825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-1901825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-1404620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-1387475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-1404620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-1387475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-899160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Eikon Therapeutics, Inc. (the “Company”) is a late-stage clinical biopharmaceutical company dedicated to building a global, fully-integrated organization developing important innovative medicines to address serious unmet medical needs. The Company’s technology platform integrates custom-engineered super-resolution microscopy systems, bespoke automation, data science machine learning and artificial intelligence tools, and software engineering capable of processing petabyte-scale datasets.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on July 9, 2019. The Company is headquartered in California. It also has operations in New York and New Jersey.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January 27, 2026, the Company effected a 1-for-7.4578 reverse stock split of its issued and outstanding common stock, which also resulted in a proportional adjustment to the conversion price for each series of its redeemable convertible preferred stock and warrants, and to the exercise prices and number of outstanding stock options. Accordingly, all shares of common stock, stock options, warrants, and per share information presented in the accompanying financial statements and notes thereto have been retroactively adjusted, where applicable, to reflect the reverse stock split for all periods presented. The per share par value and authorized numbers of shares of the Company’s common stock and redeemable convertible preferred stock were not adjusted as a result of the reverse stock split.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February 6, 2026, the Company closed its initial public offering (“IPO”) and issued 21,177,600 shares of its common stock at a price of $18.00 per share for approximate net proceeds of $349.0 million, after deducting underwriting discounts and commissions of $26.7 million and expenses of $5.5 million. In connection with the IPO, all shares of Series A, A-1, B, B-1, C, C-1 and D redeemable convertible preferred stock converted into 29,855,741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January 2026, the Company’s Board of Directors adopted, and its stockholders approved, the 2026 Long-Term Incentive Plan (the “2026 LTIP”), which became effective on February 3, 2026. A total of 4,137,117 shares of the Company’s common stock have been reserved for issuance under the 2026 LTIP, in addition to any shares of common stock outstanding under the 2019 Equity Incentive Plan (the “2019 Plan”) or shares of common stock issuable in connection with the stock option awards granted to the Company’s Chief Executive Officer on April 2, 2025 that expire, are withheld by the Company for payment of an exercise price or for satisfying tax withholding obligations, or are forfeited to the Company due to failure to vest. The number of shares of common stock reserved for future issuance under the 2026 LTIP will also be increased pursuant to provisions for annual automatic evergreen increases, subject to any action by the Board of Directors that reduces the increase to a lesser number of shares for a given year.</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January 2026, the Company’s Board of Directors adopted, and its stockholders approved, the 2026 Employee Stock Purchase Plan (the “2026 ESPP”), which became effective on February 4, 2026. A total of 539,582 shares of the Company’s common stock have been reserved for issuance under the 2026 ESPP. In addition, the number of shares reserved for future issuance under the 2026 ESPP will be increased for annual automatic evergreen increases, subject to any action by the Board of Director that reduces the increase to a lesser number of shares or provides that there will be no increase in the share reserve for a given year.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5" w:name="page186"/>
    <w:bookmarkEnd w:id="1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 Assessment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The Company has experienced net operating losses and negative cash flows from operations since its inception. As of December 31, 2025, the Company has an accumulated deficit of approximately $920.5 million.</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private placements of its redeemable convertible preferred stock, and most recently, through its IPO. The Company may seek to raise capital through private or public equity financings, debt financings, license agreements, collaborative agreements or other arrangements with other companies, or other sources of financing.</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its cash, cash equivalents, and marketable securities balance of $336.0 million as of December 31, 2025 and the net cash proceeds from the IPO will be sufficient for the Company to continue as a going concern for at least one year from the date these financial statements are issued.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in the event the Company requires additional financing, such financing will be available at terms acceptable to the Company, if at all. Even if the Company is able to acquire additional financing, the financial terms may not be satisfactory to support its operations.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and include all adjustments necessary for the fair presentation of the Company’s financial position for the periods presented. Any reference in these notes to applicable accounting guidance is meant to refer to the authoritative GAAP included in the Accounting Standards Codification (“ASC”), and Accounting Standards Update (“ASU”) issued by the Financial Accounting Standards Board (“FASB”).</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certain estimates and assumptions that affect the reported amounts in the financial statements and accompanying notes. The Company regularly evaluates estimates and assumptions related to assets and liabilities, and disclosures of contingent assets and liabilities at the dates of the financial statements and the reported amounts of expenses during the reporting period. Areas where management uses subjective judgments include, but are not limited to, useful lives of long-lived assets, the incremental borrowing rates for leases, accruals for research and development costs, the fair value of redeemable convertible preferred stock, common stock warrants, common stock and various other inputs used in estimating stock-based compensation expense, and accounting for income tax uncertainties, including a valuation allowance for deferred tax assets, in the accompanying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are financial instruments that are potentially subject to concentrations of credit risk. The Company is exposed to credit risk in the event of default by the financial institutions holding its cash, cash equivalents, and marketable securities, which may exceed federally insured limits. The Company has no financial instruments with off balance sheet risk of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biopharmaceutical companies, including, but not limited to, the need to obtain adequate additional funding, possible failure of current or future in-process research and development of its technology, its reliance on third parties to conduct its clinical trials, the need to obtain regulatory and marketing approvals, competitors advancing medicine in a field that the Company intends to enter that constrains its ability to compete effectively for market share, competitors developing technological innovations that reduce the value of the inventions that enable the Company to discover and develop new medicines, protection of its proprietary technology, and the need to secure and maintain adequate manufacturing arrangements with third parties. If the Company does not successfully commercialize its clinical assets, it will be unable to generate product revenue or achieve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from the date of purchase to be cash and cash equivalents. Cash equivalents consist primarily of amounts held in money market funds and commercial paper, which are held at amortized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United States treasury securities and commercial paper, which are held-to-maturity and reported at amortized cost. The amortization of premiums and accretion of discounts from the purchase of the securities are recognized as a component of interest income in the statements of operations and comprehensive loss. Marketable securities are initially recorded net of an allowance for expected credit losses, if any, which are remeasured each period and any impairments are recognized as an expense. As of December 31, 2025, there had been no impairment or credit losses on the Company’s marketable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had deposits of $7.8 million and $1.3 million included in long-term assets as of December 31, 2025 and 2024, respectively, restricted from withdrawal and held by a bank in the form of collateral for irrevocable standby letters of credit held as security for the Company’s leases. In addition, the Company had deposits of $400,000 included in current assets as of December 31, 2025 and 2024, pledged for corporate credit cards.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Property and equipment are presented at cost, net of accumulated depreciation. Depreciation begins the first day of the month after the asset is placed in service. Depreciation is computed using the straight-line method over the estimated useful lives of five years for lab and engineering equipment, seven years for motor vehicles (used in the transportation of materials between sites) and furniture, fittings and office equipment, four years for computer equipment, and three years for software. Leasehold improvements are amortized using the straight-line method over the shorter of the estimated useful life of the asset or the term of the lease. Costs for capital assets not yet placed into service are capitalized as construction in progress and depreciated once placed into service. Upon the sale or retirement of assets, the cost and related accumulated depreciation are removed from the balance sheet and the resulting gain or loss is reflected in the statements of operations and comprehensive loss. Maintenance and repairs are charged to expense as incurred and costs of major replacement or improvement are capitalized.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amounts of its long-lived assets, including property and equipment and right-of-use leased assets, for potential impairment whenever events or changes in circumstances indicate that the assets may not be recoverable. Factors that the Company considers in an impairment review include, but are not limited to,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the use of an asset group are less than its carrying amount, and the impairment loss would be based on the excess of the carrying value of the impaired asset group over its fair value, determined using discounted cash flows. During the year ended December 31, 2025, the Company vacated its properties in Hayward, CA and a portion of its property in New York, NY, and impaired $11.0 million of property and equipment and $10.3 million of operating lease right-of-use assets, included in general and administrative expenses in the statement of operations and comprehensive loss. There was no impairment of long-lived assets during the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inception of a contract, the Company assesses whether the contract is a lease based on whether the contract conveys the right to control the use of an identified asset for a period of time in exchange for consideration. If a lease is determined to exist, the commencement date of such lease is assessed based on the date on which the Company gains control over the use of the underlying assets. The Company’s assessment of the lease term reflects the non-cancelable term of the lease, inclusive of any rent-free periods and/or periods covered by early-termination options which the Company is reasonably certain of not exercising, as well as periods covered by renewal options that the Company is reasonably certain of exercising. At lease commencement, the Company also determines lease classification based on whether the arrangement is effectively a financed purchase of the underlying asset (finance lease) or not (operating lease), which governs the pattern of expense recognition and the presentation reflected in the statements of operations and comprehensive loss and statements of cash flows over the lease term.</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balance sheet at lease commencement reflecting the present value of its minimum payment obligations over the lease term. A corresponding right-of-use (“ROU”) asset equal to the initial lease liability is also recorded, adjusted for any prepaid rent and/or initial direct costs incurred in connection with execution of the lease and reduced by any lease incentives received. Variable lease payments are included in the present value of its minimum lease payment obligations when the contingency is resolved. The lease liability is remeasured at the date the contingency is resolved and the corresponding ROU asset is adjusted.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the Company’s operating leases, fixed lease payments are recognized as lease expense on a straight-line basis over the lease term. For leases with a term of 12 months or less, any fixed lease payments are recognized on a straight-line basis over the lease term and are not recognized on the Company’s balance sheet as an accounting policy election. Leases qualifying for the short-term lease exemption were insignificant. Variable lease costs are expensed in the statements of operations and comprehensive loss as incurred.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finance leases as of December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redeemable convertible preferred stock at their respective fair values on the dates of issuance, net of issuance costs. Holders of the redeemable convertible preferred stock can cause redemption for cash upon the occurrence of a deemed liquidation event, which is outside the Company’s control. Therefore, redeemable convertible preferred stock is classified outside of stockholders’ deficit on the balance sheet. The carrying values of the redeemable convertible preferred stock are adjusted to their liquidation preferences if and when it becomes probable that such a liquidation event will occur. The Company has not adjusted the carrying values of the redeemable convertible preferred stock to the liquidation preferences of such shares because the stock is not mandatorily redeemable and the occurrence of a deemed liquidation event is currently not probable.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 and Accruals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These expenses consist of compensation expenses, direct research and development expenses such as software development costs related to research and development activities, laboratory supplies, costs associated with setting up and conducting clinical studies at domestic and international sites, professional fees, depreciation and amortization, other miscellaneous expenses, and allocations of facility and information technology expenses.</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its research and development activities conducted by third-party service providers. The Company accrues these costs based on factors such as estimates of the work completed and in accordance with the third-party service agreements. If the Company does not identify costs that have begun to be incurred or if the Company underestimates or overestimates the level of services performed or the costs of these services, actual expenses could differ from the estimates. To date, the Company has not experienced any material differences between accrued costs and actual costs incurred.</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The prepaid amounts are expensed as the related goods are delivered or the services are performed and classified as current or non-current prepaid expenses and other assets.</w:t>
      </w:r>
    </w:p>
    <w:p>
      <w:pPr>
        <w:spacing w:after="0" w:line="17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makes payments in connection with clinical trials to contract manufacturing organizations that manufacture the materials for its product candidates and to clinical research organizations and clinical trial sites that conduct and manage the Company’s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The Company makes estimates of accrued research and development expenses as of each balance sheet date based on facts and circumstances known at that time. The Company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and other current liabilities on the balance sheet. If the actual timing of the performance of services or the level of effort varies from the original estimates, the Company will adjust the accrual accordingly.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 and In-Process Research and Development Expenses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evaluates acquisitions of assets and related liabilities and other similar transactions to assess whether or not a transaction should be accounted for as an asset acquisition or business combination by first applying a screen test to determine if substantially all of the fair value of the gross assets acquired is concentrated in a single identifiable asset or a group of similar identifiable assets. If the screen test is met, a transaction is accounted for as an asset acquisition. If the screen test is not met, further determination is required as to whether or not the Company has acquired inputs and processes that have the ability to create outputs that would meet the requirements of a business. The Company accounts for an asset acquisition by recognizing net assets based on their cost on a relative fair value basis. Goodwill is not recognized in an asset acquisition and any excess consideration transferred over the fair value of the net assets acquired is allocated to the non-monetary identifiable assets and liabilities assumed based on relative fair values. In-process research and development (“IPR&amp;D”) acquired in an asset acquisition is expensed provided there is no alternative future use.</w:t>
      </w:r>
    </w:p>
    <w:p>
      <w:pPr>
        <w:spacing w:after="0" w:line="190"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future payments such as those upon the achievement of certain regulatory, development, or sales milestones in an asset acquisition when the underlying milestones are probable to be achieved. Milestone payments made to third parties subsequent to regulatory approval may be capitalized as intangible assets, if deemed to have alternative future use, and amortized over the estimated remaining useful life of the related product. Royalties will be recognized as cost of sales when the covered products are sold and royalties are payable.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and Trademark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All patent-related and trademark costs incurred in connection with filing and prosecuting patent and trademark applications are expensed as incurred due to the uncertainty about the recovery of the expenditure. Amounts incurred are classified as general and administrative expenses on the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Deferred IPO costs, consisting primarily of legal and accounting fees relating to the IPO, are capitalized and offset against offering proceeds following the completion of the offering. Deferred IPO costs for terminated or delayed offerings are expensed immediately as a charge to general and administrative expenses in the statement of operations and comprehensive loss. The Company had $3.6 million of deferred IPO costs capitalized as of December 31, 2025, included in other non-current assets. The Company had no deferred IPO costs capitalized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ratable attribution method. The Company accounts for forfeitures as they occur.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was privately held as of December 31, 2025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represents the weighted-average period the stock options are expected to remain outstanding and is based on the options’ vesting terms and contractual terms, as the Company does not have sufficient historical information to develop reasonable expectations about future exercise patterns and post-vesting employment termination behavior.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cash compensation costs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Common Stock, Common Stock Warrants and Redeemable Convertible Preferred Stock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common stock underlying stock options on the date of grant. This has historically been determined by management with assistance from external appraisers and approved by the Board. Due to the absence of an active market for the Company’s common stock prior to its IPO, the Company utilized methodologies in accordance with the framework of the American Institute of Certified Public Accountants Technical Practice Aid, Valuation of Privately-Held Company Equity Securities Issued as Compensation, to estimate the fair value of its common stock.</w:t>
      </w:r>
    </w:p>
    <w:p>
      <w:pPr>
        <w:spacing w:after="0" w:line="18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Company’s common stock valuations prior to May 31, 2025 were performed using the Option Pricing Method (“OPM”) as it is deemed the most appropriate method based on the Company’s stage of development and other relevant factors. Within the OPM framework, the backsolve method for inferring the total equity value implied by a recent financing transaction involves the construction of an allocation model that takes into account the entity’s capital structure and the rights, preferences and privileges of each class of stock, then assumes reasonable inputs for the other OPM variables (inclusive of discount for lack of marketability, volatility, the expected time to liquidity, and risk-free rate). The total equity value is then iterated in the model until the model output value for the equity class sold in a recent financing round equals the price paid in that round. The OPM is generally utilized when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specific future liquidity events are difficult to forecast (i.e., the enterprise has many choices and options available), and the enterprise’s value depends on how well it follows an uncharted path through the various possible opportunities and challenges. Among other factors considered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common stock, common stock warrants and redeemable convertible preferred stock valuations from May 31, 2025 through the IPO date were performed using a hybrid method that combines the OPM and the probability-weighted expected return method (“PWERM”). The PWERM employs additional information not used in the OPM, including various market approach calculations depending upon the likelihood of various discrete future liquidity scenarios, such as an initial public offering or sale of the enterprise, as well as the probability of remaining a private company. In a hybrid method, various exit scenarios are analyzed. A discount for lack of marketability of the Company’s common stock and redeemable convertible preferred stock is then applied to arrive at an indication of value for the common stock and redeemable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common stock warrants as equity if the contract requires physical settlement or net physical settlement or if the Company has the option of physical settlement or net physical settlement. Common stock warrants classified as equity are initially measured at fair value on the grant date and are not subsequently remeasured.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required to be recognized or disclosed at fair value in the financial statements. 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4"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31" w:lineRule="exact"/>
        <w:rPr>
          <w:sz w:val="20"/>
          <w:szCs w:val="20"/>
          <w:color w:val="auto"/>
        </w:rPr>
      </w:pPr>
    </w:p>
    <w:p>
      <w:pPr>
        <w:ind w:left="1360" w:right="360" w:hanging="850"/>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Level 2:</w:t>
        <w:tab/>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sz w:val="20"/>
          <w:szCs w:val="20"/>
          <w:color w:val="auto"/>
        </w:rPr>
      </w:pPr>
    </w:p>
    <w:p>
      <w:pPr>
        <w:ind w:left="1360" w:right="140" w:hanging="850"/>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determining the fair value of the assets or liabilities, including pricing models, discounted cash flow methodologies, and similar techniques.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from non-owner sources. There are currently no components of other comprehensive loss for the Company. Thus, comprehensive loss is the same as the net loss for the years ended December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Company’s operation is U.S. dollars. All monetary assets and liabilities denominated in a foreign currency are translated into U.S. dollars at the exchange rate prevailing on the balance sheet date. Non-monetary assets and liabilities are translated using the exchange rate that was in effect when the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1" w:name="page192"/>
    <w:bookmarkEnd w:id="191"/>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asset or liability was initially recognized. Expenses are translated at the average exchange rates prevailing during the applicable period. Foreign currency transaction gains and losses are included in the statements of operations and comprehensive loss and recorded in other income (expense), net. Foreign currency transaction losses were immaterial for the years ended December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financial statements by prescribing a more-likely-than-not threshold for financial statement recognition and measurement of a tax position taken or expected to be taken in a tax return. Tax credits are presented on a gross basis in the effective tax rate reconciliation, and the tax effect of changes in unrecognized tax benefits related to such credits is presented separately within changes in uncertain tax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for evaluation by the chief operating decision maker in deciding how to allocate resources and assess performance. The Company’s chief operating decision maker, its Chief Executive Officer, views the Company’s operations and manages its business as a single operating segment, which is in the business of drug discovery leveraging its proprietary technology and clinical development of its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common stock equivalents. Diluted net loss per common share is computed by dividing the net loss attributable to common stockholders by the weighted-average number of common share equivalents outstanding for the period determined using the treasury stock method. Potentially dilutive securities consisting of options and warrants to purchase common stock, unvested common stock subject to repurchase and redeemable convertible preferred stock are considered to be common stock equivalents and were excluded from the calculation of diluted net loss per common share because their effect would be antidilutive for all periods presented.</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is presented in conformity with the two-class method required for participating securities as the redeemable convertible preferred stock and legally outstanding unvested common stock subject to repurchase are considered participating securities. The Company’s participating securities do not have a contractual obligation to share in the Company’s losses. As such, the net loss is attributed entirely to common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if and when it is probable that a liability has been incurred and the amount can be reasonably estimated. Legal costs incurred in connection with loss contingencies are expensed as incurred.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will require public business entities to disclose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standard on the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requires disaggregated information about an entity’s effective tax rate reconciliation as well as additional information on income taxes paid. This ASU is effective for public companies for annual periods beginning after December 15, 2024 and can be applied on either a prospective or retroactive basis. Early adoption is also permitted for annual financial statements that have not yet been issued or made available for issuance. The Company early adopted this guidance for the year ended December 31, 2025 on a prospective basis, and included additional disclosures in its income tax footnote in Note 10.</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from a Customer in a Revenue Contract</w:t>
      </w:r>
      <w:r>
        <w:rPr>
          <w:rFonts w:ascii="Times New Roman" w:cs="Times New Roman" w:eastAsia="Times New Roman" w:hAnsi="Times New Roman"/>
          <w:sz w:val="18"/>
          <w:szCs w:val="18"/>
          <w:color w:val="auto"/>
        </w:rPr>
        <w:t>. This standard refines the scope of derivative accounting under ASC 815,</w:t>
      </w:r>
      <w:r>
        <w:rPr>
          <w:rFonts w:ascii="Times New Roman" w:cs="Times New Roman" w:eastAsia="Times New Roman" w:hAnsi="Times New Roman"/>
          <w:sz w:val="18"/>
          <w:szCs w:val="18"/>
          <w:i w:val="1"/>
          <w:iCs w:val="1"/>
          <w:color w:val="auto"/>
        </w:rPr>
        <w:t xml:space="preserve">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clarifies the treatment of share-based noncash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ASU is effective for fiscal years beginning after December 15, 2026, including interim periods within those fiscal years, and early adoption is permitted. The Company early adopted this guidance for the year ended December 31, 2025 on a modified retrospective basis, which did not have a significant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3" w:name="page194"/>
    <w:bookmarkEnd w:id="1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attributable to common stockholders for the years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(in thousands, except share and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2743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8"/>
          <w:szCs w:val="18"/>
          <w:color w:val="auto"/>
        </w:rPr>
        <w:t>Impact of preferred stock extinguishments and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modifications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240" w:right="1680"/>
        <w:spacing w:after="0" w:line="250" w:lineRule="auto"/>
        <w:rPr>
          <w:sz w:val="20"/>
          <w:szCs w:val="20"/>
          <w:color w:val="auto"/>
        </w:rPr>
      </w:pPr>
      <w:r>
        <w:rPr>
          <w:rFonts w:ascii="Times New Roman" w:cs="Times New Roman" w:eastAsia="Times New Roman" w:hAnsi="Times New Roman"/>
          <w:sz w:val="18"/>
          <w:szCs w:val="18"/>
          <w:color w:val="auto"/>
        </w:rPr>
        <w:t>Weighted-average common shares outstanding Less: Weighted-average common shares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-135890</wp:posOffset>
            </wp:positionV>
            <wp:extent cx="5700395" cy="274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repurchase</w:t>
      </w:r>
    </w:p>
    <w:p>
      <w:pPr>
        <w:spacing w:after="0" w:line="9" w:lineRule="exact"/>
        <w:rPr>
          <w:sz w:val="20"/>
          <w:szCs w:val="20"/>
          <w:color w:val="auto"/>
        </w:rPr>
      </w:pPr>
    </w:p>
    <w:p>
      <w:pPr>
        <w:ind w:left="1380" w:right="1200" w:hanging="134"/>
        <w:spacing w:after="0" w:line="250" w:lineRule="auto"/>
        <w:rPr>
          <w:sz w:val="20"/>
          <w:szCs w:val="20"/>
          <w:color w:val="auto"/>
        </w:rPr>
      </w:pPr>
      <w:r>
        <w:rPr>
          <w:rFonts w:ascii="Times New Roman" w:cs="Times New Roman" w:eastAsia="Times New Roman" w:hAnsi="Times New Roman"/>
          <w:sz w:val="18"/>
          <w:szCs w:val="18"/>
          <w:color w:val="auto"/>
        </w:rPr>
        <w:t>Weighted-average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635</wp:posOffset>
            </wp:positionV>
            <wp:extent cx="5700395" cy="274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280" w:right="1440" w:hanging="134"/>
        <w:spacing w:after="0" w:line="260" w:lineRule="auto"/>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426"/>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(324,248)</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(243,814)</w:t>
            </w:r>
          </w:p>
        </w:tc>
      </w:tr>
      <w:tr>
        <w:trPr>
          <w:trHeight w:val="41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(243,814)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2,841,255</w:t>
            </w:r>
          </w:p>
        </w:tc>
        <w:tc>
          <w:tcPr>
            <w:tcW w:w="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(32,189)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(321,587)</w:t>
            </w:r>
          </w:p>
        </w:tc>
      </w:tr>
      <w:tr>
        <w:trPr>
          <w:trHeight w:val="385"/>
        </w:trPr>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2,519,668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(115.29)</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(96.76)</w:t>
            </w:r>
          </w:p>
        </w:tc>
      </w:tr>
    </w:tbl>
    <w:p>
      <w:pPr>
        <w:spacing w:after="0" w:line="216" w:lineRule="exact"/>
        <w:rPr>
          <w:sz w:val="20"/>
          <w:szCs w:val="20"/>
          <w:color w:val="auto"/>
        </w:rPr>
      </w:pPr>
    </w:p>
    <w:p>
      <w:pPr>
        <w:sectPr>
          <w:pgSz w:w="11900" w:h="16838" w:orient="portrait"/>
          <w:cols w:equalWidth="0" w:num="2">
            <w:col w:w="6580" w:space="720"/>
            <w:col w:w="3940"/>
          </w:cols>
          <w:pgMar w:left="320" w:top="1440" w:right="339" w:bottom="1440" w:gutter="0" w:footer="0" w:header="0"/>
          <w:type w:val="continuous"/>
        </w:sectPr>
      </w:pPr>
    </w:p>
    <w:p>
      <w:pPr>
        <w:spacing w:after="0" w:line="2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share attributable to common stockholders for the years ended December 31, 2025 and 2024 because their inclusion would be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2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5,513,142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2,938,017</w:t>
            </w:r>
          </w:p>
        </w:tc>
        <w:tc>
          <w:tcPr>
            <w:tcW w:w="80" w:type="dxa"/>
            <w:vAlign w:val="bottom"/>
            <w:shd w:val="clear" w:color="auto" w:fill="CFF0FC"/>
          </w:tcPr>
          <w:p>
            <w:pPr>
              <w:spacing w:after="0"/>
              <w:rPr>
                <w:sz w:val="18"/>
                <w:szCs w:val="18"/>
                <w:color w:val="auto"/>
              </w:rPr>
            </w:pPr>
          </w:p>
        </w:tc>
      </w:tr>
      <w:tr>
        <w:trPr>
          <w:trHeight w:val="198"/>
        </w:trPr>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Early exercised stock options and unvested restricted</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146,146</w:t>
            </w:r>
          </w:p>
        </w:tc>
        <w:tc>
          <w:tcPr>
            <w:tcW w:w="80" w:type="dxa"/>
            <w:vAlign w:val="bottom"/>
          </w:tcPr>
          <w:p>
            <w:pPr>
              <w:spacing w:after="0"/>
              <w:rPr>
                <w:sz w:val="20"/>
                <w:szCs w:val="20"/>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739,559</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29,855,741</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18,113,556</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36,110,128</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21,197,719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which consist of cash equivalents and marketable securities, presented at fair value on a recurring basis by level within the fair value hierarchy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w:t>
            </w:r>
          </w:p>
        </w:tc>
        <w:tc>
          <w:tcPr>
            <w:tcW w:w="1360" w:type="dxa"/>
            <w:vAlign w:val="bottom"/>
          </w:tcPr>
          <w:p>
            <w:pPr>
              <w:spacing w:after="0"/>
              <w:rPr>
                <w:sz w:val="18"/>
                <w:szCs w:val="18"/>
                <w:color w:val="auto"/>
              </w:rPr>
            </w:pP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3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123,204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-1799590</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-1799590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-1799590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-1216660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-1216660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-1216660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4" w:name="page195"/>
    <w:bookmarkEnd w:id="194"/>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w:t>
            </w:r>
          </w:p>
        </w:tc>
        <w:tc>
          <w:tcPr>
            <w:tcW w:w="13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3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-607695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-591185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-607695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-591185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-607695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-591185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hold any financial assets that would be classified as Level 3 in the fair value hierarchy during the years ended December 31, 2025 and 2024.</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Certain of the Company’s financial instruments are not measured at fair value on a recurring basis but are recorded at amounts that approximate their fair values due to their liquid or short-term nature, such as cash, prepaid expenses, accounts payable, and accrued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equipment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fittings &amp; office equipment</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96,858</w:t>
            </w:r>
          </w:p>
        </w:tc>
        <w:tc>
          <w:tcPr>
            <w:tcW w:w="8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174,581</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(33,902)</w:t>
            </w:r>
          </w:p>
        </w:tc>
      </w:tr>
      <w:tr>
        <w:trPr>
          <w:trHeight w:val="20"/>
        </w:trPr>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142,898</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140,679</w:t>
            </w:r>
          </w:p>
        </w:tc>
        <w:tc>
          <w:tcPr>
            <w:tcW w:w="8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was $18.9 million and $15.0 million for the years ended December 31,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of property and equipment during the years ended December 31, 2025 and 2024 were not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related to purchase of IPR&amp;D</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vendor expenses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18"/>
                <w:szCs w:val="18"/>
                <w:color w:val="auto"/>
              </w:rPr>
            </w:pPr>
          </w:p>
        </w:tc>
      </w:tr>
      <w:tr>
        <w:trPr>
          <w:trHeight w:val="198"/>
        </w:trPr>
        <w:tc>
          <w:tcPr>
            <w:tcW w:w="49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early exercised options and</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common stock liability</w:t>
            </w: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FF0FC"/>
          </w:tcPr>
          <w:p>
            <w:pPr>
              <w:spacing w:after="0"/>
              <w:rPr>
                <w:sz w:val="20"/>
                <w:szCs w:val="20"/>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8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Operating Leases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an operating lease of approximately 285,000 square feet of office and laboratory space that now serves as its new corporate headquarters located in Millbrae, California. The lease commenced in February 2024 and expires in January 2040. The lessor provided the Company a tenant improvement allowance of $64.2 million and the Company constructed leasehold improvements, which were concluded to be lessee assets, in the space. The lease liability at lease commencement was calculated to be $159.5 million, which is equal to the present value of the future lease payments, discounted at an incremental borrowing rate of 13.0%. The lease agreement also includes a renewal option allowing the Company to extend this lease for an additional ten years at the prevailing rental rate, which the Company is not reasonably certain to exercise.</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lease agreement provides for up to $57.0 million in additional tenant improvement allowances that may be utilized by the Company and is repayable over the term of the lease with interest. $49.7 million of additional tenant improvement allowances had been drawn down as of December 31, 2025, and the Company constructed leasehold improvements, which were concluded to be lessee assets, in the space. The Company is accounting for the repayment obligation related to these additional tenant improvement allowances as part of the lease with the amounts included in operating lease liability, current and non-current. The Company has an irrevocable standby letter of credit for $6.6 million held as security for the Millbrae lease deposit.</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had leases for other office and laboratory facilities of between approximately 25,000 and 72,000 square feet in Hayward, California, New York, New York and Jersey City, New Jersey as of December 31, 2025. The leases will expire between October 2026 and July 2029 unless their terms are extended where allowed under the leases. In September 2025, the Company amended the New York lease to reduce the term for the office facilities and extend the term for the laboratory facilities under the lease agreement. As a result, the Company increased the carrying values of the operating lease right-of-use assets and operating lease liabilities for this lease by $2.5 million. In January 2026, the Company notified the landlord of one of its Hayward properties of its intention to early terminate the lease in October 2026. The Company remeasured the operating lease liabilities, which resulted in a reduction of the carrying value of the operating lease liability and a corresponding reduction in the operating lease right-of-use assets of $5.6 million as of December 31, 2025.</w:t>
      </w:r>
    </w:p>
    <w:p>
      <w:pPr>
        <w:spacing w:after="0" w:line="1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leases had weighted average remaining lease terms of 13.3 years and 13.3 years, and weighted average discount rates of 12.8% and 12.4% as of December 31, 2025 and 2024,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2025 were as follows (in thousands):</w:t>
      </w:r>
    </w:p>
    <w:p>
      <w:pPr>
        <w:spacing w:after="0" w:line="2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4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80" w:type="dxa"/>
            <w:vAlign w:val="bottom"/>
            <w:tcBorders>
              <w:top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41,406</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38,286</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36,777</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35,913</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370,302</w:t>
            </w:r>
          </w:p>
        </w:tc>
        <w:tc>
          <w:tcPr>
            <w:tcW w:w="80" w:type="dxa"/>
            <w:vAlign w:val="bottom"/>
          </w:tcPr>
          <w:p>
            <w:pPr>
              <w:spacing w:after="0"/>
              <w:rPr>
                <w:sz w:val="18"/>
                <w:szCs w:val="18"/>
                <w:color w:val="auto"/>
              </w:rPr>
            </w:pPr>
          </w:p>
        </w:tc>
      </w:tr>
      <w:tr>
        <w:trPr>
          <w:trHeight w:val="209"/>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561,994</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(304,675)</w:t>
            </w: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14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257,319</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Operating lease liability, current</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(10,028)</w:t>
            </w:r>
          </w:p>
        </w:tc>
      </w:tr>
      <w:tr>
        <w:trPr>
          <w:trHeight w:val="249"/>
        </w:trPr>
        <w:tc>
          <w:tcPr>
            <w:tcW w:w="4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247,291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Rent expense for operating leases was $33.3 million and $31.8 million for the years ended December 31, 2025 and 2024, respectively. There were no variable lease costs and short-term lease costs were not material for the years ended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Agreements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various agreements in the ordinary course of business, such as those with suppliers, clinical research organizations, contract manufacturing organizations,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Milestone and Royalty Payments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enters into license agreements in the normal course of business in order to obtain rights to promising product candidates, advance product development and obtain technologies and services related to its business. The Company could be required to make development and regulatory milestones and sales milestones of up to $630.0 million and $1.1 billion, and tiered royalty payments to licensors based on the net sales of the licensed products. Contingent milestones are recorded when probable to be achieved. Royalties will be recognized as cost of sales when the covered products are sold and royalties are payable. As of December 31, 2025, the Company has incurred and recorded $88.0 million in upfront and milestone payments under these agreements (see Notes 11 and 12).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not involved in any pending legal proceedings that it believes could have a material adverse effect on its financial condition, results of operations, or cash flows.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accrues a liability for such matters when it is probable that future expenditures will be made, and such expenditures can be reasonably estimated. There were no legal contingencies requiring accrual or disclosures as of December 31, 2025 and 2024.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Issued and outstanding redeemable convertible preferred stock consisted of the following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0" w:type="dxa"/>
            <w:vAlign w:val="bottom"/>
            <w:vMerge w:val="restart"/>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51,268,891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51,268,891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29,271,143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17,456,768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308,786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35,756,908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35,756,908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24,884,830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5,194,787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4,975,110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4,975,110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68,441,007</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60,005,669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262,597,889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222,658,133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1,159,762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0" w:type="dxa"/>
            <w:vAlign w:val="bottom"/>
            <w:vMerge w:val="restart"/>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51,268,891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51,268,891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29,680,164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29,271,143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24,884,830</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153,833,885</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135,087,291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809,062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-1422400</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-1422400</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-1422400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February 2025, the Company entered into a Series D preferred stock purchase and exchange agreement which provided for the issuance of Series D redeemable convertible preferred stock at a purchase price of $5.84 per share. The transaction provided returning investors the ability to exchange their Series B and Series C redeemable convertible preferred stock for Series B-1 and Series C-1 redeemable convertible preferred stock, respectively, if their participation in the Series D financing exceeded certain qualifying amounts. Further, investors that invested more in the Series D financing than their aggregate investment in Series B and Series C received common stock warrants based on the excess investment.</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transaction, the Company issued 60,005,669 shares of Series D redeemable convertible preferred stock in cash purchases at $5.84 per share for gross proceeds of $350.7 million. The Company also issued (i) an aggregate of 35,756,908 shares of its Series B-1 redeemable convertible preferred stock as a result of the exchange of an aggregate of 11,814,375 shares of its Series B redeemable convertible preferred stock, (ii) an aggregate of 4,975,110 shares of its Series C-1 redeemable convertible preferred stock as a result of the exchange of an aggregate of 1,352,470 shares of its Series C redeemable convertible preferred stock, and (iii) warrants to purchase up to 739,559 shares of its common stock at an exercise price of $43.59 per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warrants shall be exercisable in whole or in part, at any time up to and including the first to occur of the consummation of a liquidation event and the fifth anniversary of the date of issue and thereafter shall terminate and be void. The warrants can be exercised either in cash or net issued. As the contract allows for physical settlement or net physical settlement, the Company concluded that the common stock warrants should be equity- classified and recorded in additional paid-in capital at their fair value of $6.3 million upon issuance.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assessed the impact of the transaction, on an investor-by-investor basis, using a quantitative analysis in order to determine whether it represented an extinguishment or a modification of the Series B and Series C redeemable convertible preferred stock held by each investor which were exchanged.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Extinguishment</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quantitative analysis indicated the fair value before and after the transaction was substantially different for some investors. Specifically, these represented investors that participated at a level which enabled them to exchange all or nearly all of their Series B and Series C redeemable convertible preferred stock, including the investors whose participation also entitled them to common stock warrants. For each of these investors, the transaction represented an extinguishment.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extinguishments resulted in the following impacts:</w:t>
      </w:r>
    </w:p>
    <w:p>
      <w:pPr>
        <w:spacing w:after="0" w:line="117" w:lineRule="exact"/>
        <w:rPr>
          <w:sz w:val="20"/>
          <w:szCs w:val="20"/>
          <w:color w:val="auto"/>
        </w:rPr>
      </w:pPr>
    </w:p>
    <w:p>
      <w:pPr>
        <w:ind w:left="1700" w:right="220" w:hanging="509"/>
        <w:spacing w:after="0" w:line="282"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 of the existing carrying amount of the extinguished Series B and Series C redeemable convertible preferred stock of $172.8 million and $30.0 million, respectively.</w:t>
      </w:r>
    </w:p>
    <w:p>
      <w:pPr>
        <w:spacing w:after="0" w:line="53" w:lineRule="exact"/>
        <w:rPr>
          <w:rFonts w:ascii="Times New Roman" w:cs="Times New Roman" w:eastAsia="Times New Roman" w:hAnsi="Times New Roman"/>
          <w:sz w:val="18"/>
          <w:szCs w:val="18"/>
          <w:color w:val="auto"/>
        </w:rPr>
      </w:pPr>
    </w:p>
    <w:p>
      <w:pPr>
        <w:ind w:left="1700" w:right="160" w:hanging="509"/>
        <w:spacing w:after="0" w:line="312" w:lineRule="auto"/>
        <w:tabs>
          <w:tab w:leader="none" w:pos="155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for the new issuance of the Series B, Series B-1, Series C and Series C-1 redeemable convertible preferred stock, and common stock warrants at fair values of $16.7 million, $149.6 million, $4.8 million, $23.1 million and $6.3 million, respectively.</w:t>
      </w:r>
    </w:p>
    <w:p>
      <w:pPr>
        <w:spacing w:after="0" w:line="31" w:lineRule="exact"/>
        <w:rPr>
          <w:rFonts w:ascii="Times New Roman" w:cs="Times New Roman" w:eastAsia="Times New Roman" w:hAnsi="Times New Roman"/>
          <w:sz w:val="17"/>
          <w:szCs w:val="17"/>
          <w:color w:val="auto"/>
        </w:rPr>
      </w:pPr>
    </w:p>
    <w:p>
      <w:pPr>
        <w:ind w:left="1700" w:right="100" w:hanging="509"/>
        <w:spacing w:after="0" w:line="266"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offset for each investor was recorded to either additional paid-in capital (investors for which fair value exceeded carrying value, aggregating to $6.4 million) or accumulated deficit (investors for which carrying value exceeded fair value, aggregating to $8.7 million), as appropriate.</w:t>
      </w:r>
    </w:p>
    <w:p>
      <w:pPr>
        <w:spacing w:after="0" w:line="176" w:lineRule="exact"/>
        <w:rPr>
          <w:sz w:val="20"/>
          <w:szCs w:val="20"/>
          <w:color w:val="auto"/>
        </w:rPr>
      </w:pPr>
    </w:p>
    <w:p>
      <w:pPr>
        <w:ind w:left="120" w:right="60" w:firstLine="509"/>
        <w:spacing w:after="0" w:line="266" w:lineRule="auto"/>
        <w:rPr>
          <w:sz w:val="20"/>
          <w:szCs w:val="20"/>
          <w:color w:val="auto"/>
        </w:rPr>
      </w:pPr>
      <w:r>
        <w:rPr>
          <w:rFonts w:ascii="Times New Roman" w:cs="Times New Roman" w:eastAsia="Times New Roman" w:hAnsi="Times New Roman"/>
          <w:sz w:val="18"/>
          <w:szCs w:val="18"/>
          <w:color w:val="auto"/>
        </w:rPr>
        <w:t>The aggregate difference between the fair value of the consideration transferred and the carrying value of the extinguished shares was reflected as an adjustment to the numerator in the computation of basic earnings per share for the year ended December 31, 2025. Specifically, the extinguishments resulted in a $2.3 million net reduction to the net loss available to common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Modification</w:t>
      </w:r>
    </w:p>
    <w:p>
      <w:pPr>
        <w:spacing w:after="0" w:line="11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quantitative analysis indicated the fair value before and after the transaction was not substantially different for some investors. Specifically, these represented investors that participated but only at a level which enabled them to exchange a portion of their Series B and Series C redeemable convertible preferred stock. For each of these investors, the transaction represented a modification.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modifications resulted in the following impacts:</w:t>
      </w:r>
    </w:p>
    <w:p>
      <w:pPr>
        <w:spacing w:after="0" w:line="117" w:lineRule="exact"/>
        <w:rPr>
          <w:sz w:val="20"/>
          <w:szCs w:val="20"/>
          <w:color w:val="auto"/>
        </w:rPr>
      </w:pPr>
    </w:p>
    <w:p>
      <w:pPr>
        <w:ind w:left="1700" w:right="60" w:hanging="509"/>
        <w:spacing w:after="0" w:line="261"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carrying amount of the modified preferred stock was adjusted by the increase in fair value of $11.7 million comprised of a net decrease to the carrying amount of Series B and Series C redeemable convertible preferred stock of $64.1 million and $6.5 million, respectively, and an increase to the carrying amount of Series B-1 and Series C-1 redeemable convertible preferred stock of $74.6 million and $7.7 million, respectively.</w:t>
      </w:r>
    </w:p>
    <w:p>
      <w:pPr>
        <w:spacing w:after="0" w:line="71"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offset for each investor was recorded to additional paid-in capital (all represented increases in fair value).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9" w:name="page200"/>
    <w:bookmarkEnd w:id="199"/>
    <w:p>
      <w:pPr>
        <w:spacing w:after="0" w:line="1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increase in fair value of the modified shares was reflected as an adjustment to the numerator in the computation of basic earnings per share for the year ended December 31, 2025. Specifically, the modifications resulted in a $11.7 million increase to the net loss available to common shareholders. See Note 3 for the net impact of the extinguishments and modifications on the net loss per share attributable to common shareholders.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rights and preferences of the Company’s redeemable convertible preferred stock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When and if declared by the Board of Directors, the holders of the Series A, A-1, B, B-1, C, C-1 and D redeemable convertible preferred stock are entitled to receive non-cumulative dividends at the rate of 6% of the applicable original issuance price per annum, adjusted for any stock splits, stock dividends, combinations, subdivisions, recapitalizations, or the like. Such dividends are payable in preference to any dividends for common stock declared by the Board of Directors. The holders of the redeemable convertible preferred stock shall participate in any dividends payable to common stockholders on an as-converted basis. No dividends have been declared to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Upon the (i) sale, lease, transfer, exclusive license, or other disposition of all or substantially all of the assets of the Company, (ii) issuance of capital stock, merger ,or consolidation of the Company in which the holders of the majority of the voting power of capital stock of the Company changes, (iii) liquidation, voluntary or involuntary dissolution, or winding up of the Company, the holders of the redeemable convertible preferred stock are entitled to a liquidation preference, prior and in preference to any distribution of any of the assets or funds of the Company to the holders of shares of common stock, of an amount per share equal to the applicable original issuance price ($1.00, $2.00, $17.69, $5.84, $21.50, $5.84 and $5.84 per share for the Series A, A-1, B, B-1, C, C-1 and D redeemable convertible preferred stock, respectively, in each case adjusted for any stock splits, stock dividends, combinations, subdivisions, recapitalizations, or the like) plus all declared and unpaid dividends. If available assets are insufficient to pay the full liquidation preference, the available assets will be distributed among the holders of the redeemable convertible preferred stock, on a pari passu and pro rata basis. After the payment of the liquidation preference, all remaining assets available for distribution will be distributed ratably among the holders of the common stock and the holders of the redeemable convertible preferred stock pro rata and on an as-converted to common stock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Each share of redeemable convertible preferred stock is, at the option of the holder, convertible into the number of fully paid and nonassessable shares of common stock as determined by dividing the original issue price applicable to such redeemable convertible preferred stock by the conversion price in effect at that time. The conversion price for each series of redeemable convertible preferred stock shall initially be the original issue price of such series of redeemable convertible preferred stock and shall be adjusted upon any future stock splits, stock dividends, combinations, subdivisions, recapitalizations, issuance or deemed issuance of shares of common stock, options or convertible securities with an issue price less than the original issue price of the respective series of preferred stock, or the like. The adjustment of the conversion price of any series of preferred stock that would otherwise result from the issuance or deemed issuance of shares of common stock, options or convertible securities only occurs if the new issue price is less than the Series D preferred stock original issue price.</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will be automatically converted into shares of common stock based on the then effective conversion price (i) immediately upon the closing of a public offering covering the sale of the Company’s common stock in which the gross cash proceeds are at least $150 million, or (ii) upon the affirmative election of the holders of at least a majority of the outstanding shares of redeemable convertible preferred stock, which must include 30% of the Series B, B-1, C and C-1 preferred stock 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Each holder of redeemable convertible preferred stock shall be entitled to the number of votes equal to the number of shares of common stock into which such shares of redeemable convertible preferred stock could be converted, with respect to any question upon which common stockholders have the right to vote. Subject to certain conditions, the holders of Series A redeemable convertible preferred stock shall be entitled to elect four directors of the Company, and the holders of each series of redeemable convertible preferred stock are also entitled to protective voting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if-converted basis, consisted of the following:</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2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29,855,741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18,113,556</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5,513,142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2,938,017</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1,449,522</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1,134,173</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37,557,964</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22,185,746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Common stockholders are entitled to dividends if and when declared by the Board and after any dividends on redeemable convertible preferred stock are fully paid. The holder of each share of common stock is entitled to one vote. As of December 31, 2025, no dividends have been declared.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Incentive Plan and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September 19, 2019, the Company adopted the 2019 Equity Incentive Plan (the “2019 Plan”). The 2019 Plan provides for the granting of restricted stock, incentive stock options (“ISOs”), or nonqualified stock options (“NQSOs”). Restricted stock and NQSOs may be granted to Company employees, officers, directors, and consultants. ISOs may only be granted to Company employees (including directors who are also considered employees).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Options under the 2019 Plan may be granted for terms of up to ten years from the date of grant, provided however, that with respect to an ISO granted to a person who owns stock representing more than 10% of the total combined voting power of all classes of stock of the Company, the term shall be for no more than five years from the date of grant.</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exercise price of options granted under the 2019 Plan must be at a price no less than 100% of the fair market value of the shares on the date of grant, as determined by the Board of Directors, provided however, that with respect to an ISO granted to an employee who at the time of grant of such option owns stock representing more than 10% of the total combined voting power of all classes of stock of the Company, the exercise price shall not be less than 110% of the fair market value of the shares on the date of grant.</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Options granted under the 2019 Plan generally vest over four years, generally 25% after one year and monthly thereafter. Annual refresher options granted to employees generally vest monthly over four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April 2, 2025, the Company granted the Company’s Chief Executive Officer, Chair &amp; Director, Dr. Roger M. Perlmutter, an option to purchase 1,608,481 shares of the Company’s common stock with an exercise price of $9.85 per share. In addition, Dr. Roger M. Perlmutter’s exercise price of $20.89 relating to the options to purchase 869,981 shares of the Company’s common stock issued in February 2022 in connection with the Series B financing round was also amended to $9.85, the estimated common stock fair value at that date. Each of these options vest over four years in equal monthly installments and are subject to accelerated vesting if Dr. Roger M. Perlmutter’s employment is terminated. In order to retain and motivate employees and other key contributors of the Company, 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April 2 and May 5, 2025, the board of directors also approved the repricing of 83,803 and 1,766,017 outstanding options, respectively, which had exercise prices exceeding $9.85. The repricing reduced the options’ exercise price to $9.85, the estimated common stock fair value on those dates. The stock option repricing was treated as an option modification for accounting purposes and resulted in a total incremental expense of $2.4 million, of which $1.5 million incremental expense associated with vested options was recognized on the modification dates. The remaining $0.9 million incremental expense associated with the unvested options as of the modification date will be recognized over the remainder of the original requisite service periods through July 2028.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options granted to employees and nonemployees and has been reported in the statements of operations and comprehensive loss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780" w:type="dxa"/>
            <w:vAlign w:val="bottom"/>
            <w:gridSpan w:val="3"/>
            <w:shd w:val="clear" w:color="auto" w:fill="CFF0FC"/>
          </w:tcPr>
          <w:p>
            <w:pPr>
              <w:jc w:val="center"/>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11,669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18,036</w:t>
            </w:r>
          </w:p>
        </w:tc>
        <w:tc>
          <w:tcPr>
            <w:tcW w:w="780" w:type="dxa"/>
            <w:vAlign w:val="bottom"/>
            <w:gridSpan w:val="3"/>
            <w:shd w:val="clear" w:color="auto" w:fill="CFF0FC"/>
          </w:tcPr>
          <w:p>
            <w:pPr>
              <w:jc w:val="center"/>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442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0"/>
                <w:szCs w:val="10"/>
                <w:color w:val="auto"/>
              </w:rPr>
            </w:pPr>
          </w:p>
        </w:tc>
        <w:tc>
          <w:tcPr>
            <w:tcW w:w="1240" w:type="dxa"/>
            <w:vAlign w:val="bottom"/>
            <w:gridSpan w:val="5"/>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2,938,017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5,932,746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(200,267)</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(3,157,354)</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Outstanding, vested and expected to vest at</w:t>
            </w:r>
          </w:p>
        </w:tc>
        <w:tc>
          <w:tcPr>
            <w:tcW w:w="13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5,513,142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2,700,596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-2376805</wp:posOffset>
            </wp:positionV>
            <wp:extent cx="51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-2376805</wp:posOffset>
            </wp:positionV>
            <wp:extent cx="51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estimated fair value of the Company’s common stock as determined by the Board and the exercise price of the options. The intrinsic value of stock options exercised during the years ended December 31, 2025 and 2024 was $335,000 and $775,000, respectively.</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unrecognized stock-based compensation expense of $26.0 million, related to unvested share options which the Company expects to recognize over a weighted-average period of 2.6 years.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shares of common stock vested during the years ended December 31, 2025 and 2024 was $8.5 million and $17.2 million, respectively.</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2025 and 2024, was $4.71 and $20.45, respectively. Exercise prices of stock options outstanding as of December 31, 2025 range from $0.60 to $27.67.</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2" w:name="page203"/>
    <w:bookmarkEnd w:id="202"/>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employee stock options was estimated using the following weighted average assumptions: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7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5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4.10 – 6.08</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5.52 – 6.08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4.64%</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center"/>
              <w:ind w:right="5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center"/>
              <w:ind w:right="535"/>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80.89%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88.09%</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for Early Exercise of Stock Options and Restricted Common Stock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2019 Plan permits the early exercise of certain stock options prior to vesting. Any shares issued pursuant to unvested options are restricted and subject to repurchase by the Company until the conditions for vesting are met. The right to repurchase these shares generally lapses with respect to 25% of the shares underlying the option after one year of service to the Company, and the remainder ratably over 36 months thereafter. The amounts paid for shares purchased under an early exercise of stock options and subject to repurchase by the Company are reported as current and non-current liabilities on the balance sheets and are reclassified to common stock and additional paid-in capital as such shares vest. Upon termination of employment of an option-holder, the Company has the right to repurchase any unvested options at the original purchase price.</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the Company’s Chief Executive Officer purchased shares of restricted common stock during the year ended December 31, 2021 which vest over four years. Unvested shares are only restricted and subject to repurchase by the Company until the service condition for vesting are met.</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$4,000 of stock options were early exercised, $300,000 of early exercised options and restricted common stock vested and there were $7,000 of repurchases of shares issued for early exercised options upon the termination of the employee stockholder. As of December 31, 2025, there were 1,686 unvested common shares outstanding that were issued upon the early exercise of stock options and restricted common stock which are subject to repurchase by the Company. As of December 31, 2025, the Company had $35,000 of early exercised options and restricted common stock liability included in accrued expenses and other current liabilities on the balance sheet.</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$11,000 of stock options were early exercised, $595,000 of early exercised options and restricted common stock vested and there were no repurchases of shares issued for early exercised options upon the termination of the employee stockholder. As of December 31, 2024, there were 146,146 unvested common shares outstanding that were issued upon the early exercise of stock options and restricted common stock which are subject to repurchase by the Company. As of December 31, 2024, the Company had $302,000 of early exercised options and restricted common stock liability included in accrued expenses and other current liabilities, and $37,000 included other long-term liabilities, on the balance sheet.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loss before provision of income taxes for the years ended December 31, 2025 and 2024 was $324.2 million and $243.8 million, respectively, and generated solely in the United States. No income tax provision or benefit was recorded, and no income taxes were paid in the years ended December 31, 2025 and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rate and effective rate for the year ended December 31, 2025, which reflects the adoption of ASU 2023-09, is as follows (in thousands, except percentages):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42"/>
        </w:trPr>
        <w:tc>
          <w:tcPr>
            <w:tcW w:w="5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(68,092)</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66,337</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Limitation on executive compensation </w:t>
            </w:r>
            <w:r>
              <w:rPr>
                <w:rFonts w:ascii="Times New Roman" w:cs="Times New Roman" w:eastAsia="Times New Roman" w:hAnsi="Times New Roman"/>
                <w:sz w:val="24"/>
                <w:szCs w:val="24"/>
                <w:color w:val="auto"/>
                <w:vertAlign w:val="superscript"/>
              </w:rPr>
              <w:t>(2)</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(expense)/ Effective tax rate</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1117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1117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made up the majority of the tax effect in this category.</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5"/>
              </w:rPr>
              <w:t>(2)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nondeductible limitation on executive compensation includes impairment of certain related</w:t>
            </w: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deferred tax assets which have a</w:t>
            </w:r>
          </w:p>
        </w:tc>
      </w:tr>
      <w:tr>
        <w:trPr>
          <w:trHeight w:val="234"/>
        </w:trPr>
        <w:tc>
          <w:tcPr>
            <w:tcW w:w="360" w:type="dxa"/>
            <w:vAlign w:val="bottom"/>
          </w:tcPr>
          <w:p>
            <w:pPr>
              <w:spacing w:after="0"/>
              <w:rPr>
                <w:sz w:val="20"/>
                <w:szCs w:val="20"/>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permanent effect on the effective tax rate.</w:t>
            </w:r>
          </w:p>
        </w:tc>
        <w:tc>
          <w:tcPr>
            <w:tcW w:w="2480" w:type="dxa"/>
            <w:vAlign w:val="bottom"/>
          </w:tcPr>
          <w:p>
            <w:pPr>
              <w:spacing w:after="0"/>
              <w:rPr>
                <w:sz w:val="20"/>
                <w:szCs w:val="20"/>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U.S. federal rate and effective rate for the year ended December 31, 2024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86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6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w:t>
            </w:r>
          </w:p>
        </w:tc>
        <w:tc>
          <w:tcPr>
            <w:tcW w:w="5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less federal benefit</w:t>
            </w:r>
          </w:p>
        </w:tc>
        <w:tc>
          <w:tcPr>
            <w:tcW w:w="5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w:t>
            </w:r>
          </w:p>
        </w:tc>
        <w:tc>
          <w:tcPr>
            <w:tcW w:w="5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6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202</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taxes consist of the following (in thousands):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106,632</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Reserves and accruals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44,260</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Upfront research and development payment</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09"/>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168,889</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(24,875)</w:t>
            </w:r>
          </w:p>
        </w:tc>
      </w:tr>
      <w:tr>
        <w:trPr>
          <w:trHeight w:val="20"/>
        </w:trPr>
        <w:tc>
          <w:tcPr>
            <w:tcW w:w="4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(25,455)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(25,640)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(248,816)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(143,249)</w:t>
            </w:r>
          </w:p>
        </w:tc>
      </w:tr>
      <w:tr>
        <w:trPr>
          <w:trHeight w:val="20"/>
        </w:trPr>
        <w:tc>
          <w:tcPr>
            <w:tcW w:w="4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ASC 740 requires that the tax benefit of net operating losses, temporary differences, and credit carryforwards be recorded as an asset to the extent that management assesses that realization is more likely than not. The realization of future tax benefits depends on the Company’s ability to generate sufficient taxable income within the carryforward period. The Company believes that, based on a number of factors such as the history of operating losses, it is more likely than not that the deferred tax assets will not be fully realized, such that a full valuation allowance has been recorded. The valuation allowance increased by $105.6 million and by $58.4 million for the years ended December 31, 2025 and 2024, respectively, primarily due to the net operating losses carryforwards and capitalized research and development costs, and for 2025, changes in the effective state tax rate resulting from changes in apportionment.</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$423.6 million which can be carried forward indefinitely, and state net operating loss carryforwards of $253.3 million which begin expiring in 2039. At December 31, 2024, the Company had federal and state net operating loss carryforwards of $183.9 million and $36.2 million, respectively.</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tax credit carryforwards of $23.3 million which begin expiring in 2040, and state tax credit carryforwards of $12.0 million which can be carried forward indefinitely. At December 31, 2024, the Company had federal and state tax credit carryforwards of $17.2 million and $8.6 million, respectively.</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Net operating losses are subject to review and possible adjustment by the Internal Revenue Service and state tax authorities. The net operating loss and tax credit carryforwards may also become subject to an annual limitation in the event of certain cumulative changes in the ownership interest of significant stockholders over a three-year period exceeding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completed a study to determine if any such changes have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05" w:name="page206"/>
    <w:bookmarkEnd w:id="205"/>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occurred that could limit its ability to use the net operating loss and tax credit carryforwards. There is a risk of an ownership change beyond the control of the Company that could trigger a limitation on its tax attributes.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ASC 740-10 prescribes a comprehensive model for the recognition, measurement, presentation, and disclosure in financial statements of any uncertain tax positions that have been taken or are expected to be taken on a tax return. It is the Company’s policy to include penalties and interest expense related to income taxes as components of other expense and interest expense, respectively, as necessary. During the year ended December 31, 2025, the Company did not recognize any tax-related penalties or interest. As of December 31, 2025 and 2024, the gross unrecognized tax benefit relating to tax credit carryforwards was $6.9 million and $4.8 million, respectively, none of which, if recognized, would reduce the effective tax rate in a future period, due to the Company’s full valuation allowance on U.S. net deferred tax assets.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Change related to prior year positions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related to current year positions</w:t>
            </w: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00" w:type="dxa"/>
            <w:vAlign w:val="bottom"/>
            <w:gridSpan w:val="2"/>
          </w:tcPr>
          <w:p>
            <w:pPr>
              <w:jc w:val="right"/>
              <w:ind w:right="64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numerous changes to existing tax law, including extending or making permanent certain business and international tax measures initially established under the 2017 Tax Cuts and Jobs Act, which were set to expire. The OBBBA permanently eliminates the requirement to capitalize and amortize U.S.-based research and experimental expenditures over five years, making these expenditures fully deductible in the period incurred. The OBBBA also permanently extends the full expensing of qualifying assets through accelerated bonus depreciation in the period acquired. The OBBBA has multiple effective dates, with certain provisions effective in 2025 and others to be implemented through 2027.</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there is no material change to its tax expense or cash tax as a result of the OBBBA, mainly as a result of the taxable loss position and full valuation allowance the Company has on its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 of IPR&amp;D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Seven and Eight Collaboration Agreement and SW License and Development Agreement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29, 2023, the Company entered into an Exclusive Collaboration Agreement (the “Seven and Eight Collaboration Agreement”), with Seven and Eight Biotherapeutics Corp. and related entities (collectively “Seven and Eight”), and an Exclusive License and Development Agreement (the “SW License Agreement”) with Seven and Eight and Superb Wisdom Limited (“SW”). Under each agreement, Seven and Eight and SW granted the Company a worldwide, exclusive license under certain of their patents, know-how, and other intellectual property rights to develop and commercialize certain toll-like receptor 7 and 8 agonist product candidates, including the Company’s product candidate, EIK1001. The license from SW is exclusive in the field of oncology, and the license from Seven and Eight is exclusive in all fields. The Company has the sole right and responsibility to conduct clinical development, perform regulatory activities and commercialize the compounds and products licensed under the agreements, and must use commercially reasonable efforts with respect to its development activities. Under the Seven and Eight Collaboration Agreement, following a transition period during which Seven and Eight transferred certain contracts, regulatory documentation, biological materials, research tools, rights and other information related to the product candidates to the Company, Seven and Eight agreed to wind down its research efforts with respect to toll-like receptor activity, including its development of the compounds licensed under the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paid Seven and Eight and SW aggregate upfront payments of $11.0 million in cash ($10.5 million to Seven and Eight and $0.5 million to SW), and issued two Simple Agreements for Future Equity (“SAFEs”), equal to $35.0 million ($31.5 million to Seven and Eight and $3.5 million to SW) upon entering into the applicable agreement. The SAFEs automatically converted into Series C redeemable convertible preferred stock upon the initial closing of the Series C financing round in May 2023. The Company has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The Company has also agreed to pay SW additional milestone payments in the amount of up to $29.4 million and $350.0 million upon the achievement of certain regulatory and commercial milestones, respectively.</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Under the Seven and Eight Collaboration Agreement, the Company owns and retains all rights in intellectual property and other information discovered, developed, or otherwise made in connection with the Seven and Eight Collaboration Agreement, whether made by the Company or Seven and Eight, either solely or jointly. Under the SW License Agreement, the Company owns any improvements, enhancements, updates, or equivalents of the intellectual property developed, created, or otherwise made in relation to the compounds and products licensed under both agreements. The Company also has the right to prepare, file, prosecute, enforce, and maintain patents related to the compounds and products licensed under each agreement.</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Seven and Eight Collaboration Agreement expires upon the latest of (i) the expiration, invalidation, or abandonment of the last patent licensed thereunder, (ii) the expiration of any data or market exclusivity program related to the product candidates, and (iii) ten years after the first commercial sale of a product candidate. If the Company notifies Seven and Eight that it is permanently discontinuing its efforts to develop and commercialize the licensed products under the agreement and does not intend to pay Seven and Eight any milestone payments contemplated thereunder, Seven and Eight may terminate the Seven and Eight Collaboration Agreement. Either party may terminate the Seven and Eight Collaboration Agreement if there has been a material breach of contract, but such termination can only be invoked if the breach cannot be reasonably remedied by the payment of money damages. The Company may also terminate the Seven and Eight Collaboration Agreement upon prior written notice for any reason.</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SW License Agreement expires upon the earliest of (i) the expiration, invalidation, or abandonment of the last patent licensed thereunder in the applicable country (and if no patent application was filed or no patent was issued in such country, ten years from the first commercial sale of the first product licensed thereunder in such country), or (ii) payment of the last commercial milestone payment. The SW License Agreement automatically terminates upon any termination of the Seven and Eight Collaboration Agreement. The SW License Agreement may also be terminated, without terminating the Seven and Eight Collaboration Agreement, by either party if there has been a material breach (including if the Company fails to make any milestone payment due thereunder). The Company may also terminate the SW License Agreement, without terminating the Seven and Eight Collaboration Agreement, upon prior written notice for any reason.</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the upfront payments of $46.0 million as in-process research and development expenses within the statement of operations and comprehensive loss in the year ended December 31, 2023 as the transaction was accounted for as an in-process research and development asset acquisition and the acquired technology did not have an alternative use. No future milestones were accrued on the Company’s balance sheets at December 31, 2025 and 2024 as such milestones were not achieved or probable of being achieved at each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Collaboration Agreement</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On May 10, 2023, the Company entered into a Collaboration Agreement, which was amended and restated on November 22, 2023, and further amended on December 12, 2024 (collectively, the “Impact Agreement”) with Impact Therapeutics (Shanghai) Inc. (“Impact”). Pursuant to the Impact Agreement, the Company received an exclusive license under certain of Impact’s patents, know-how, and regulatory information to develop and commercialize any selective PARP1 inhibitors owned or controlled by Impact or its affiliates, including the Company’s product candidates EIK1003 and EIK1004, and any pharmaceutical products comprised of or containing such inhibitors, on a worldwide basis excluding China, Hong Kong, Taiwan, and Macau, such excluded territories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collectively known as the Impact territory. The Company also received a co-exclusive, royalty-free license under certain of Impact’s patents and know-how to develop and manufacture such product candidates within the Impact territory solely for the purposes of supporting the development or commercialization thereof outside of the Impact territory. Additionally, the Company granted to Impact a co-exclusive, royalty-free license under certain of its patents, know-how, and regulatory information for the sole purposes of Impact fulfilling its obligations related to the Impact Agreement and to develop, manufacture and make regulatory filings related to the product candidates. In addition, the Company granted an exclusive, royalty-free license under certain of its patents and know-how to Impact solely for purposes of commercialization of the product candidates in the Impact territory. The Impact Agreement further prohibits either party or their sublicensees or affiliates, as applicable, from developing, manufacturing, or commercializing any selective PARP1 inhibitors during the term of the Impact Agreement except as provided under the foregoing licenses.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Impact Agreement established a joint steering committee (“JSC”) to manage the collaboration. Under the Impact Agreement, Impact retains responsibility for all preclinical development activities for the product candidates. Impact is responsible for clinical development, including preparing and maintaining regulatory approvals, and commercialization of the product candidates, in the Impact territory, and the Company is responsible for these activities in all other jurisdictions worldwide. The Company also has the right to propose global clinical studies and global development plans that include clinical sites in the Impact territory for the JSC’s approval. The Company would be responsible for the conduct of any global clinical study in all territories except the Impact territory, in which Impact would be responsible for such conduct. Under a global development plan, the Company and Impact could each also propose the development of a combination product in their respective territories. Further, under the Impact Agreement, the Company must use commercially reasonable efforts to achieve regulatory approval of a product candidate for one indication in the United States, subject to Impact’s performance of its preclinical development activities.</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JSC consists of three Eikon representatives and three Impact representatives; the chair of the JSC is an Eikon representative. In the event that the JSC cannot reach unanimous agreement on any issue, then the Company’s Chief Medical Officer must discuss the issue with Impact’s Chief Executive Officer. If they are unable to reach agreement, then the Company has final decision-making authority over any matter related to the development and commercialization of the product candidates, including Impact’s preclinical development plan, and any Impact, global, or combination development plan. Impact has final decision-making authority over the day-to-day implementation of any development plan, manufacturing, and commercialization of the product candidates in the Impact territory.</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paid an upfront fee of $31.5 million in cash to Impact. The Company is also required to make payments to Impact of up to $181.0 million and $775.0 million upon the achievement of certain development and regulatory milestones and commercial milestones, respectively. In addition, tiered royalties of high single-digit to low-teen percentages of net sales per calendar year, subject to certain reductions, are also payable by the Company to Impact post-commercialization.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and Impact each own and retain all interests in any information or invention individually developed under the Impact Agreement, and they each own an equal and undivided interest in any jointly developed intellectual property. Subject to the licenses granted under the Impact Agreement and the respective exclusivity obligations therein, the Company and Impact each have the right to exploit such joint intellectual property rights and grant licenses to affiliates or other persons under such joint intellectual property rights.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Impact has the right to prosecute and maintain its own and joint patents in the Impact Territory; the Company has the right to prosecute and maintain its own patents worldwide, and to prosecute and maintain Impact’s and any joint patents in any jurisdictions except for the Impact Territory. The Company and Impact each have the sole right to enforce patents in their own respective territories and have agreed to cooperate fully where the enforcing party requires documentation or other assistance from the other party.</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Impact Agreement expires upon the expiration of the last royalty term for the last product candidate for which the Company is actively pursuing research, development and commercialization. The royalty term for a product candidate in a country expires upon the latest to occur of: (i) the expiration of the last-to-expire patent held by Impact or joint patent in such country that contains a valid claim that covers such product candidate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corresponding licensed compound, (ii) the tenth anniversary of the first commercial sale of such product candidate in such country, and (iii) the expiration of regulatory exclusivity for such product candidate in such country. Upon such expiration of the royalty term for a product candidate in a country, the exclusive licenses the Company received under the Impact Agreement will become non-exclusive, perpetual, fully-paid, royalty-free, irrevocable licenses for such product candidate in such country. Either party may terminate the Impact Agreement if there has been material breach, but such termination can only be invoked if the breach cannot be reasonably remedied by the payment of money damages. In addition, either party may terminate the agreement if the other party becomes insolvent. The Company has the sole right to terminate the Impact Agreement immediately upon written notice to Impact if the Company receives a clinical hold or a withdrawal notice from a regulatory authority regarding safety concerns related to the development or commercialization of a product candidate, in each case that has no reasonable likelihood of resolution. The Company also has the sole right to terminate for any or no reason upon prior written notice to Impact.</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the upfront payment of $31.5 million as in-process research and development expenses within the statement of operations and comprehensive loss in the year ended December 31, 2023 as the transaction was accounted for as an in-process research and development asset acquisition and the acquired technology did not have an alternative use.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paid $2.5 million and $4.5 million in development and regulatory milestones, which were recorded as research and development expenses in the statement of operations and comprehensive loss for the years ended December 31, 2025 and 2024, respectively. No future milestones were accrued on the Company’s balance sheets at December 31, 2025 and 2024 as such milestones were not achieved or probable of being achieved at each date. See Note 16. Subsequent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Research and Development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and Catalyst4 Agreement</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June 7, 2024, the Company entered into a collaboration agreement with The Column Group-Neuro, LP (“TCG”), an investor in the Company, and Catalyst4, Inc. (“Catalyst4”), a limited partner in TCG’s neuroscience fund.</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Catalyst4 will pay the Company an aggregate payment of $25.0 million over the next five years to perform upfront research and development on drug discovery or drug development programs for Parkinson’s Disease. In addition, the Company is required to pay up to $50.0 million to Catalyst4 upon the achievement of a certain regulatory milestone. In the event Eikon sells or licenses programs to a third party to develop, the Company is required to pay Catalyst4 a mid-double digit percentage of all payments received, up to $50.0 million in the aggregate across all such programs.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received $10.0 million from Catalyst4 for future services, which was recorded in other non-current liabilities on its balance sheet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Collaboration and Supply Agreements with MSD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entered into a clinical trial collaboration and supply agreement (the “MSD Agreement”) with MSD International Business GmbH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non-small cell lung cancer (dated December 5, 2025). Pursuant to the MSD Agreements, the Company and MSD agreed to collaborate on these clinical trials evaluating the safety and efficacy of its compounds in combination with MSD’s compound, pembrolizumab. Under the MSD Agreements, the Company acts as the sponsor of the clinical trials at its own costs and MSD has agreed to supply to the Company, at its own cost, pembrolizumab for use in such trials. Pursuant to the MSD Agreements, the Company and MSD must each use commercially reasonable efforts to supply the Company’s applicable compounds for use in the portions of the clinical trials in which patients are intended to receive pembrolizumab either alone or in combination with one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9" w:name="page210"/>
    <w:bookmarkEnd w:id="209"/>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more treatments, in accordance with the applicable study protocol. The Company recognizes costs incurred for the EIK clinical trial as research and development expenses within the statement of operations and comprehensive loss.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and MSD will jointly own all clinical data and results generated from the portion of the clinical trials involving the combination of the Company’s compound and pembrolizumab. The Company owns all clinical data and results generated from all portions of these clinical trials that involve its compound alone or in combination with other treatments that are not pembrolizumab, and MSD owns all clinical data and results generated from the portions of the clinical trial involving pembrolizumab alone or in combination with other treatments that are not the Company’s compound (the “MSD clinical data”). The Company may use MSD clinical data solely to evaluate the safety or performance of the combination or to register its compound in the combination.</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MSD Agreements will each expire upon the delivery of a results memorandum and final report of the portions of the respective trial where patients receive pembrolizumab to MSD, unless earlier terminated, or, in the case of the Phase 2/3 trials, if the Phase 3 portion of the clinical trial is not initiated. MSD may terminate the supply agreement for a particular clinical trial if the Company does not initiate the trial for the combination within one year from the effective date of the respective MSD Agreement. Further, MSD may terminate an MSD agreement and the supply of pembrolizumab immediately if (i) MSD notifies the Company that it believes that pembrolizumab is being used unsafely in the trial and (ii) either MSD believes such matter is not reasonably capable of being remedied, or if the Company fails to remedy promptly such issue to MSD’s reasonable satisfaction. Either the Company or MSD may terminate an MSD agreement for a breach of the agreement, for patient safety, or due to regulatory authority objections or actions. Further, either party may also terminate an MSD agreement if such party determines, in its sole discretion, to withdraw any applicable regulatory approval for its respective compound, or to discontinue development of its respective compound for medical, scientific, or legal reasons.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401(k) Plan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Employer contributions to the plan were $3.1 million and $2.7 million for the years ended December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operating segment that is managed on an entity-wide basis. The Company’s chief operating decision maker is its Chief Executive Officer. The Company’s chief operating decision maker uses net loss to evaluate the performance of its segment, analyze financial trends, compare the budget to the actual operating results, and make resource allocation decisions. Segment net loss represents the Company’s total net loss. All corporate costs, including allocated facilities and information technology costs, depreciation and amortization, are included within this segment.</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significant expense categories within net loss are presented on the statements of operations. The research and development expenses have been disaggregated as follows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engineering expenses</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130,433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130,114</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69,672</w:t>
            </w:r>
          </w:p>
        </w:tc>
        <w:tc>
          <w:tcPr>
            <w:tcW w:w="80" w:type="dxa"/>
            <w:vAlign w:val="bottom"/>
          </w:tcPr>
          <w:p>
            <w:pPr>
              <w:spacing w:after="0"/>
              <w:rPr>
                <w:sz w:val="18"/>
                <w:szCs w:val="18"/>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 expenses</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204,536</w:t>
            </w:r>
          </w:p>
        </w:tc>
        <w:tc>
          <w:tcPr>
            <w:tcW w:w="8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(16,529)</w:t>
            </w:r>
          </w:p>
        </w:tc>
      </w:tr>
      <w:tr>
        <w:trPr>
          <w:trHeight w:val="20"/>
        </w:trPr>
        <w:tc>
          <w:tcPr>
            <w:tcW w:w="4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324,248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243,814</w:t>
            </w:r>
          </w:p>
        </w:tc>
        <w:tc>
          <w:tcPr>
            <w:tcW w:w="8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-591185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left="100" w:hanging="92"/>
        <w:spacing w:after="0"/>
        <w:tabs>
          <w:tab w:leader="none" w:pos="1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items is comprised of interest income, interest expense and other income (expense), net.</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long-lived assets as of December 31, 2025 and 2024 were located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Workforce Reduction</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May 2025, the Company announced a reduction in its workforce as part of a corporate reorganization to sharpen its operational focus and efficiency whilst also improving its cash runway. As a result, the Company recorded restructuring charges of $3.0 million in research and development expenses and $294,000 in general and administrative expenses for the year ended December 31, 2025. The charges comprise employee severance and related charges, which were accounted for as one-time involuntary employer termination benefits, and were fully paid as of December 31, 2025. There were no restructuring charges in the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 achieved a development and regulatory milestone related to the Impact Agreement and recognized $5.0 million of expense in its statement of operations and comprehensive loss for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is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Based on their evaluation as of the end of the period covered by this Annual Report, our Chief Executive Officer and Chief Financial Officer have concluded that, as of December 31, 2025, our disclosure controls and procedures were not effective because of the material weakness described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evaluation of the accounting considerations for complex terms in lease arrangements. The material weakness resulted in the restatement of our condensed balance sheet and condensed statement of cash flows as of and for the nine months ended September 30, 2025. Additionally, this material weakness could result in misstatements to lease-related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1" w:name="page212"/>
    <w:bookmarkEnd w:id="21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or disclosures that would result in a material misstatement to the annual or interim financial statements that would not be prevented or detected.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taking steps to remediate the material weakness and to strengthen our internal control over financial reporting. The material weakness will not be considered remediated until management completes the design and implementation of the controls and the controls operate for a sufficient period of time and management has concluded, through testing, that these controls are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Set forth below is certain biographical and other information regarding our executive officers and directors as of the date of this Annual Report.</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453"/>
        </w:trPr>
        <w:tc>
          <w:tcPr>
            <w:tcW w:w="4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FF0FC"/>
          </w:tcPr>
          <w:p>
            <w:pPr>
              <w:spacing w:after="0"/>
              <w:rPr>
                <w:sz w:val="24"/>
                <w:szCs w:val="24"/>
                <w:color w:val="auto"/>
              </w:rPr>
            </w:pPr>
          </w:p>
        </w:tc>
        <w:tc>
          <w:tcPr>
            <w:tcW w:w="780" w:type="dxa"/>
            <w:vAlign w:val="bottom"/>
            <w:tcBorders>
              <w:top w:val="single" w:sz="8" w:color="231F20"/>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4400" w:type="dxa"/>
            <w:vAlign w:val="bottom"/>
            <w:tcBorders>
              <w:top w:val="single" w:sz="8" w:color="231F20"/>
            </w:tcBorders>
            <w:shd w:val="clear" w:color="auto" w:fill="CFF0FC"/>
          </w:tcPr>
          <w:p>
            <w:pPr>
              <w:spacing w:after="0"/>
              <w:rPr>
                <w:sz w:val="24"/>
                <w:szCs w:val="24"/>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Roger M. Perlmutter, M.D., Ph.D.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Chair and Director</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Baynes, M.D., Ph.D.</w:t>
            </w:r>
          </w:p>
        </w:tc>
        <w:tc>
          <w:tcPr>
            <w:tcW w:w="9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c>
          <w:tcPr>
            <w:tcW w:w="46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Alfred Bowie, Ph.D.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44</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Klobuchar</w:t>
            </w:r>
          </w:p>
        </w:tc>
        <w:tc>
          <w:tcPr>
            <w:tcW w:w="9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46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Benjamin Thorner</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Business Officer and General Counsel</w:t>
            </w: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0" w:type="dxa"/>
            <w:vAlign w:val="bottom"/>
            <w:shd w:val="clear" w:color="auto" w:fill="CFF0FC"/>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Leon Chen, Ph.D.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C. Frazier</w:t>
            </w:r>
          </w:p>
        </w:tc>
        <w:tc>
          <w:tcPr>
            <w:tcW w:w="9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c>
          <w:tcPr>
            <w:tcW w:w="46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Robert Huffines</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Meline</w:t>
            </w:r>
          </w:p>
        </w:tc>
        <w:tc>
          <w:tcPr>
            <w:tcW w:w="9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46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Joshua Wolfe</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brief biographies describing the backgrounds of our executive officers and directors.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M. Perlmutter,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646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Dr. Perlmutter has served as our Chief Executive Officer and Chair and a member of our board of directors since 2021. Dr. Perlmutter is a highly accomplished industry and academic leader with more than 35 years of experience. Prior to joining us, Dr. Perlmutter was Executive Vice President of Merck and President of Merck Research Laboratories, or MRL, from 2013 to 2020, where he supervised the discovery and development of numerous lifesaving medicines including pembrolizumab, Merck’s foundational immuno-oncology therapeutic. Before his time at Merck, Dr. Perlmutter spent twelve years as Executive Vice President and Head of Research and Development at Amgen, where he supervised the development of important biopharmaceuticals for the treatment of osteoporosis and cancer-related bone disease and for the reduction of hypercholesterolemia-related cardiovascular risk. Prior to Amgen, Dr. Perlmutter served as Executive Vice President of Basic and Preclinical Research at MRL from 1997 to 2001. Prior to assuming leadership roles in the industry, Dr. Perlmutter was a professor in the Departments of Immunology, Biochemistry, and Medicine at the University of Washington, Seattle and also served as Chairman of its Department of Immunology, where he was at the same time an investigator of the Howard Hughes Medical Institute. His research focused on understanding the signaling pathways that control lymphocyte activation. Prior to his role at the University of Washington, he was a lecturer in the Division of Biology at the California Institute of Technology, Pasadena. Dr. Perlmutter is an elected member of the American Academy of Arts and Sciences, a fellow of the American Association for the Advancement of Science, and both a distinguished fellow and past president of the American Association of Immunologists. Dr. Perlmutter currently serves on the board of directors at Insitro, Inc. and NGM Biopharmaceuticals, Inc. Dr. Perlmutter holds an M.D. and a Ph.D. from Washington University in St. Louis and a bachelor’s degree from Reed College.</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Dr. Perlmutter is qualified to serve on our board of directors because of his extensive industry, academic and leadership experience.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3" w:name="page214"/>
    <w:bookmarkEnd w:id="213"/>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Baynes,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709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Baynes has served as our Executive Vice President and Chief Medical Officer since July 2022 and was a compensated consultant for us from April 2022 to July 2022. Before joining us, Dr. Baynes served as Chief Medical Officer, Senior Vice President and Head of Global Clinical Development at Merck from 2013 to 2022, where he helped Merck become a leading oncology and global healthcare company. Dr. Baynes also previously served as Senior Vice President of Oncology, Inflammation, and Respiratory Therapeutics at Gilead Sciences, Inc. from 2012 to 2013, which was preceded by his service at Amgen, as Vice President of Global Clinical Development and Therapeutic Area Head for hematology/oncology. Before joining Amgen in 2002, Dr. Baynes was the Charles Martin Professor of Cancer Research at the Barbara Ann Karmanos Cancer Institute, a National Cancer Institute-designated Comprehensive Cancer Center, at Wayne State University. Dr. Baynes currently serves on the board of directors at Natera, Inc. (Nasdaq: NTRA), Travere Therapeutics, Inc. (Nasdaq: TVTX), CatalYm GmbH, Aardvark Therapeutics, Inc. (Nasdaq: AARD), Nurix Therapeutics, Inc. (Nasdaq: NRIX), and Adcendo ApS, and is a compensated advisor to Decheng Capital, CatalYm GmbH, and Adcendo ApS. Dr. Baynes has received numerous awards for his activities as a physician and scientist. Dr. Baynes holds a medical degree and a doctor of philosophy from the University of the Witwatersrand in South Africa and completed his medical training in the Department of Hematology and Oncology at Johannesburg Hospital.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Alfred Bowie,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423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Dr. Bowie has served as our Chief Financial Officer since 2021, where he leads the finance, corporate planning, investor relations, and procurement functions. Prior to joining us, Dr. Bowie oversaw strategic and operational functions at the genomic diagnostics company, Veracyte, Inc., or Veracyte, including corporate and business development, strategic planning and sales operations from 2019 to 2021. At Veracyte, he led collaborations with companies such as Bayer AG, AstraZeneca plc, and Johnson &amp; Johnson, Inc., and orchestrated multiple acquisitions. Before joining Veracyte, Dr. Bowie was Senior Director of Corporate Development and Strategy at Foundation Medicine, Inc., a wholly owned subsidiary of The Roche Group from 2016 to 2019, where he led strategic planning, corporate development, and competitive intelligence. He also served in corporate and business development positions at Tecan Group and Danaher Corporation. Dr. Bowie holds a doctorate in synthetic organic chemistry from the University of California, Berkeley and a bachelor’s degree in chemistry from Davidson College in North Carolina.</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Klobuchar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51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9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Mr. Klobuchar has served as our Chief Operating Officer since 2024. In this role, he oversees our research and engineering functions, as well as corporate infrastructure, including global supply chain management and product manufacturing, information technology, facilities, and business operations across the enterprise. A chemical engineer by training, Mr. Klobuchar’s career spans more than 25 years with Merck where he rapidly rose through the organization to hold senior leadership roles across research and development, manufacturing, finance and corporate strategy. Most recently, Mr. Klobuchar served as Merck’s Chief Strategy Officer from 2021 to 2024, reporting to the Chief Executive Officer and as a member of Merck’s Executive Committee, and was responsible for the advancement and execution of global business development, led digital and data transformation, and oversaw the information technology infrastructure and cybersecurity strategies for the global enterprise. Prior to this role, he was Senior Vice President, Chief Financial Officer and Head of Portfolio and Alliance Management for MRL and led the Global Portfolio and Alliance Management group within that organization. Mr. Klobuchar currently serves on the board of directors at Revvity, Inc. (NYSE: RVTY), an 11,000-employee provider of diagnostics and life sciences tools, instruments, and software. Mr. Klobuchar holds a M.B.A. from Villanova University and M.S. and B.S. degrees in chemical engineering from Rutgers University and Purdue University, respectively.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Thorner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407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9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Mr. Thorner has served as our General Counsel and Chief Business Officer since 2021, overseeing all legal matters and deal-making for Eikon. Prior to joining Eikon, Mr. Thorner served as Senior Vice President and Head of Business Development and Licensing for MRL from 2014 to 2021. In that role, Mr. Thorner supervised all deal-making activities that contributed to the pipeline, which included discovery, technologies, preclinical and clinical stage deals, as well as the MRL Ventures Fund. Before Merck, Mr. Thorner served as Head of Transactions,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4" w:name="page215"/>
    <w:bookmarkEnd w:id="214"/>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Strategic Alliances at the Novartis Institutes for BioMedical Research from 2009 to 2014, leading a team of deal negotiators responsible for pre-proof-of-concept deals for Novartis AG’s, or Novartis’, therapeutics pipeline. Prior to Novartis, Mr. Thorner held positions of increasing responsibility with Amgen in their legal and licensing organizations from 2003 to 2009. Mr. Thorner currently serves on the board of directors at Acesion Pharma ApS. Before joining the industry, Mr. Thorner worked in private practice providing counsel on strategic intellectual property issues, licensing agreements, strategic alliances, and other corporate transactions. In addition, he served as clerk to the Honorable Randall R. Rader, U.S. Court of Appeals for the Federal Circuit. Mr. Thorner holds a J.D. and master’s degree in biology from the University of Virginia and a bachelor’s degree from George Mason University.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216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9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Dr. Chen has served as a member of our board of directors since 2019. He served as a member of the board of directors of LogicBio Therapeutics, Inc. (Nasdaq: LOGC) from January 2016 to November 2022. Dr. Chen is a partner at The Column Group, a healthcare investment firm, where he has been employed since October 2019. Prior to joining The Column Group, Dr. Chen was a venture partner at OrbiMed Advisors LLC, a healthcare investment firm, from June 2013 to September 2019. Dr. Chen currently serves on the boards of directors of several privately held life sciences companies. Within the past five years, Dr. Chen also served on the board of directors of Nurix Therapeutics, Inc. (Nasdaq: NRIX). Dr. Chen holds a Ph.D. in Molecular Pharmacology from the Stanford School of Medicine, an M.B.A. from the Stanford Graduate School of Business, and a B.A. in Biochemistry from U.C. Berkeley.</w:t>
      </w:r>
    </w:p>
    <w:p>
      <w:pPr>
        <w:spacing w:after="0" w:line="18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Dr. Chen is qualified to serve on our board of directors because of his venture capital and operating experience in biopharmaceutical companies, including his venture capital experience in the life sciences industry.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724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Mr. Frazier has served as a member of our board of directors since 2022. Mr. Frazier is Chairman of General Catalyst’s Health Assurance initiatives. Mr. Frazier focuses on investments and partnerships and providing mentorship to founders building companies that are well positioned to transform the healthcare industry through collaborative innovation. Mr. Frazier is the former executive chairman of the board of directors of Merck, following his retirement from a decade-long tenure as the Merck’s President and Chief Executive Officer from 2011 to 2021. Mr. Frazier joined Merck in 1992 and held positions of increasing responsibility, including general counsel and president. Prior to joining Merck, Mr. Frazier was a partner with the Philadelphia law firm of Faegre Drinker Biddle &amp; Reath LLP. Mr. Frazier’s contributions, especially in the legal, business and humanitarian fields, have been widely recognized. He is co-founder and co-chair of OneTen, a coalition of leading organizations committed to upskilling, hiring, and promoting one million Black Americans into family-sustaining jobs. In addition to Eikon, Mr. Frazier is on the boards of General Catalyst portfolio company Paradigm Health, as well as numerous nonprofit organizations, including the National Constitution Center, Cornerstone Christian Academy in Philadelphia, Pennsylvania, Weill Cornell Medicine, and the Smithsonian Institution’s Advisory Council for the National Museum of African American History &amp; Culture. Mr. Frazier is also a member of the American Academy of Arts and Sciences, the American Philosophical Society, The Business Council, the Council of the American Law Institute, the American Bar Association, and a Fellow of the College of Physicians of Philadelphia. Additionally, Mr. Frazier is co-chair of the Legal Services Corporation’s Leaders Council. As a strong advocate for social justice and economic inclusion, Mr. Frazier is the recipient of numerous awards and honors, including the Anti-Defamation League Courage Against Hate Award, the Botwinick Prize in Business Ethics from Columbia Business School, the Legend in Leadership Award from the Yale School of Management, the NAACP Legal Defense and Educational Fund National Equal Justice Award, and the National Minority Quality Forum’s Lifetime Achievement Award. In 2018, Mr. Frazier was named one of the World’s Greatest Leaders by Fortune magazine and also was named one of TIME’s 100 Most Influential People. In 2019, he became the first recipient of the Forbes Lifetime Achievement Award for Healthcare. In 2021, his peers named him </w:t>
      </w:r>
      <w:r>
        <w:rPr>
          <w:rFonts w:ascii="Times New Roman" w:cs="Times New Roman" w:eastAsia="Times New Roman" w:hAnsi="Times New Roman"/>
          <w:sz w:val="18"/>
          <w:szCs w:val="18"/>
          <w:i w:val="1"/>
          <w:iCs w:val="1"/>
          <w:color w:val="auto"/>
        </w:rPr>
        <w:t>Chief Executive</w:t>
      </w:r>
      <w:r>
        <w:rPr>
          <w:rFonts w:ascii="Times New Roman" w:cs="Times New Roman" w:eastAsia="Times New Roman" w:hAnsi="Times New Roman"/>
          <w:sz w:val="18"/>
          <w:szCs w:val="18"/>
          <w:color w:val="auto"/>
        </w:rPr>
        <w:t xml:space="preserve"> magazine’s CEO of the Year. Mr. Frazier holds a bachelor’s degree from Pennsylvania State University and a J.D. from Harvard Law School.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9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believe Mr. Frazier is qualified to serve on our board of directors because of his extensive experience in the life sciences industry, business acumen and leadership experience in numerous organizations, including his experience as Chairman and CEO of Merck.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Huffines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391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Huffines has served as a member of our board of directors since 2023. Mr. Huffines joined J.P. Morgan Chase &amp; Co., or J.P. Morgan, a leading global financial services firm, in 1992 and retired in 2024 as the Global Chairman of Investment Banking, a position he has held since February 2017. Throughout his career at J.P. Morgan, Mr. Huffines has held various leadership positions, including serving as of the Global Healthcare Investment Banking Group from 2002 to 2010 and Vice Chairman from 2011 to January 2017. Mr. Huffines also served as a member of the board of directors of Solid Biosciences Inc. (Nasdaq: SLDB) from December 2013 to June 2023 and as a member of the board of directors of Walgreens Boots Alliance, Inc. (Nasdaq: WBA) from January 2024 to August 2025. Mr. Huffines currently serves as a member of the board of directors at Insulet Corporation (Nasdaq: PODD), Becton, Dickinson and Company (NYSE: BDX), Nextech Invest, and the Hastings Center for Biomedical Ethics. Mr. Huffines received a M.B.A. from the University of Virginia and a B.A. from the University of North Carolina.</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Mr. Huffines is qualified to serve on our board of directors because of his over 30 years of experience advising healthcare companies and his leadership experience.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311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9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Mr. Meline brings extensive leadership experience to our Board. He currently serves on the Boards of Lonza Group AG (since 2025), HP Inc. (since 2023), and ABB Ltd. (since 2016), and previously served on the Board of Pacific Biosciences from 2023 to 2025. Mr. Meline served as Chief Financial Officer of Moderna Inc. from 2020 to 2022. Prior to that, he was Chief Financial Officer and Executive Vice President at Amgen from 2014 to 2020; and from 2008 to 2014, Mr. Meline was Chief Financial Officer of 3M Company. Earlier in his career, Mr. Meline spent more than 20 years in a variety of finance and management roles at General Motors Company.</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believe Mr. Meline is qualified to serve on our board of directors because of his extensive financial experience with a significant focus on the life sciences industry, and his leadership experience in numerous organizations.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84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spacing w:after="0" w:line="9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Mr. Wolfe has served as a member of our board of directors since 2022. Mr. Wolfe co-founded Lux Capital and has also been a director at Aera Therapeutics, Inc. since April 2022, Cajal Neuroscience Inc. since March 2022, EvolutionaryScale, PBC, since September 2023, Gandeeva Therapeutics, Inc. since March 2022, Impulse Labs, Inc. since September 2022, Kallyope, Inc. since March 2022, Osmo Labs, PBC since July 2022, Variant Bio, Inc. since November 2018, and Yemaya, Inc. since April 2024, and helped lead Lux Capital’s investments in Anduril Industries, Inc., Echodyne Corp., Planet Labs PBC (NYSE: PL), Hadrian Automation, Inc., Tangible Play Inc., and National Resilience, Inc. He is a founding investor and was a board member with Bill Gates in Kymeta Corporation from August 2012 to March 2025, making cutting-edge antennas for high-speed global satellite and space communications. Mr. Wolfe is a Westinghouse semi-finalist and published scientist. He previously worked in investment banking at Salomon Smith Barney Inc. and in capital markets at Merrill Lynch, Pierce, Fenner &amp; Smith Incorporated. In 2008, Mr. Wolfe co-founded and funded Kurion, Inc. Mr. Wolfe is a columnist with Forbes and Editor for the Forbes/Wolfe Emerging Tech Report. He has been invited to The White House and Capitol Hill to advise on nanotechnology and emerging technologies and is a lecturer at the Massachusetts Institute of Technology, Harvard, Yale, Cornell, Columbia, and New York University. He is a term member at The Council on Foreign Relations, a Trustee at the Santa Fe Institute and Chairman of Coney Island Prep charter school. Mr. Wolfe holds a B.S. in Economics and Finance from Cornell University.</w:t>
      </w:r>
    </w:p>
    <w:p>
      <w:pPr>
        <w:spacing w:after="0" w:line="1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believe Mr. Wolfe is qualified to serve on our board of directors because of his extensive experience serving on company boards, both within and outside of the industry, and his business acumen.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6" w:name="page217"/>
    <w:bookmarkEnd w:id="2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Bylaws provide that the exact number of directors will be fixed from time to time by resolution of our board of directors. Our board of directors currently consists of six members: Roger M. Perlmutter, M.D., Ph.D., Leon Chen, Ph.D., Joshua Wolfe, Kenneth C. Frazier, Robert Huffines, and David Meline.</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our Certificate of Incorporation, our board of directors is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are divided among the three classes as follows:</w:t>
      </w:r>
    </w:p>
    <w:p>
      <w:pPr>
        <w:spacing w:after="0" w:line="68" w:lineRule="exact"/>
        <w:rPr>
          <w:sz w:val="20"/>
          <w:szCs w:val="20"/>
          <w:color w:val="auto"/>
        </w:rPr>
      </w:pPr>
    </w:p>
    <w:p>
      <w:pPr>
        <w:ind w:left="1020" w:right="1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Leon Chen, Ph.D. and Joshua Wolfe, and their terms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Kenneth C. Frazier and Roger M. Perlmutter, M.D., Ph.D., and their terms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Robert Huffines and David Meline, and their terms will expire at the annual meeting of stockholders to be held in 2029.</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a change of our management or a change in control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rules and listing standards of the Nasdaq Stock Market, LLC, or the Nasdaq Rules, a majority of the members of our board of directors must satisfy the criteria for “independence.” No director qualifies as independent under the Nasdaq Rules unless our board of directors affirmatively so determines in accordance with such rules. Our board of directors has determined that all of our directors qualify as independent under the Nasdaq Rules, other than Roger M. Perlmutter, M.D., Ph.D., Leon Chen, Ph.D., and Joshua Wolfe.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of this Annual Report 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recognizes that one of its key responsibilities is to evaluate and determine its optimal leadership structure so as to provide effective oversight of management. Our Bylaws provide our board of directors with flexibility to combine or separate the positions of Chair of our board of directors and Chief Executive Officer. However, our board of directors believes that our existing leadership structure, under which Dr. Perlmutter serves as our Chief Executive Officer and as Chair of our board of directors, is effective, provides the appropriate balance of authority between independent and non-independent directors, and achieves the optimal governance model for us and for our stockholders.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7" w:name="page218"/>
    <w:bookmarkEnd w:id="2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management is responsible for the day-to-day management of the risks our company faces, our board of directors and its committees take an active role in overseeing management of our risks and have the ultimate responsibility for the oversight of risk management. Our board of directors regularly reviews information regarding our operational, financial, legal, and strategic risks. Specifically, senior management attends quarterly meetings of our board of directors, periodically provides presentations on operations, including significant risks, and is available to address any questions or concerns raised by our board of directors.</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our three committees assist our board of directors in fulfilling its oversight responsibilities regarding risk. The audit committee of our board of directors, or the Audit Committee, coordinates our board of directors’ oversight of our internal control over financial reporting, related party transactions, and cybersecurity, and management regularly reports to the Audit Committee on these areas. The compensation committee of our board of directors, or the Compensation Committee, assists our board of directors in fulfilling its oversight responsibilities with respect to the management of risks arising from our compensation policies and programs as well as succession planning as it relates to our Chief Executive Officer and other executive officers. The nominating and corporate governance committee of our board of directors, or the Nominating and Corporate Governance Committee, assists our board of directors in fulfilling its oversight responsibilities with respect to the management of risks associated with board organization, membership and structure, succession planning for our Chief Executive Officer and other key executive officers, and our corporate governance generally. The chair of each relevant committee reports to the board of directors with respect to the activities of the committee.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stockholders may recommend nominees to our board of directors from those that were described in our final prospectus filed pursuant to Rule 424(b)(4) under the Securities Act with the SEC on February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is comprised of David Meline, Robert Huffines, and Leon Chen, Ph.D., with David Meline serving as Chair of the Audit Committee. Each member of the Audit Committee must be independent as defined under the applicable Nasdaq Rules and rules of the SEC and financially literate under the Nasdaq Rules. Our board of directors has determined that David Meline and Robert Huffines are “independent” under the Nasdaq Rules and the rules of the SEC, that each member of the Audit Committee is “financially literate” under the Nasdaq Rules and the rules of the SEC, and that David Meline is an “audit committee financial expert” under the rules of the SEC. Leon Chen, Ph.D., is not “independent” under the Nasdaq Rules and the rules of the SEC.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a code of conduct and ethics which applies to all of our employees, officers, and directors, including those officers responsible for financial reporting and is available on our website at https://www.eikontx.com/. We intend to disclose any amendments to the code of conduct and ethics, or any waivers of its requirements, on our website to the extent required by the applicable rules and stock exchange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applicable to our directors, officers, employees, and other covered persons, governing the purchase, sale and other dispositions of our securities, or the Insider Trading Policy. We believe that the Insider Trading Policy is reasonably designed to promote compliance with U.S. insider trading laws, rules and regulations, and listing standards applicable to us. The Insider Trading Policy is filed as Exhibit 19.1 to this Annual Report.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8" w:name="page219"/>
    <w:bookmarkEnd w:id="2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are:</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Roger M. Perlmutter, M.D., Ph.D., our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Klobuchar, our Chief Operating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 Baynes, M.D., Ph.D., our Chief Medical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to our named executive officers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3"/>
                <w:szCs w:val="13"/>
                <w:color w:val="auto"/>
              </w:rPr>
            </w:pP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3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7"/>
                <w:szCs w:val="7"/>
                <w:b w:val="1"/>
                <w:bCs w:val="1"/>
                <w:color w:val="auto"/>
                <w:w w:val="97"/>
              </w:rPr>
              <w:t>(2)</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Roger M. Perlmutter, M.D., Ph.D.</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573,710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12,104,451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12,946,682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563,151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225,261</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803,304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Michael Klobuchar</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462,070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233,772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1,307,552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Roy Baynes, M.D., Ph.D.</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488,475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259,248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850,072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474,631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218,331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661,580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15,049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030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1" w:lineRule="exact"/>
        <w:rPr>
          <w:sz w:val="20"/>
          <w:szCs w:val="20"/>
          <w:color w:val="auto"/>
        </w:rPr>
      </w:pPr>
    </w:p>
    <w:p>
      <w:pPr>
        <w:ind w:left="520" w:right="40" w:hanging="512"/>
        <w:spacing w:after="0" w:line="254"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represent the aggregate grant date fair value of the stock options awarded to our named executive officers during the fiscal years indicated, calculated in accordance with FASB ASC Topic 718. The amounts reported in the Option Awards column for 2025 also include the incremental fair value associated with the modification in 2025 of the exercise prices of options granted to our named executive officers in prior years in connection with our option repricing in May 2025, computed in accordance with FASB ASC Topic 718, as follows: $811,476 for Dr. Perlmutter and $134,596 for Dr. Baynes. The assumptions used in calculating the grant date fair value of the awards reported in this column are set forth in Note 2 to our audited financial statements included elsewhere in this Annual Report.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See the subsection titled “</w:t>
      </w:r>
      <w:r>
        <w:rPr>
          <w:rFonts w:ascii="Times New Roman" w:cs="Times New Roman" w:eastAsia="Times New Roman" w:hAnsi="Times New Roman"/>
          <w:sz w:val="18"/>
          <w:szCs w:val="18"/>
          <w:i w:val="1"/>
          <w:iCs w:val="1"/>
          <w:color w:val="auto"/>
        </w:rPr>
        <w:t>—Equity Benefit Plans</w:t>
      </w:r>
      <w:r>
        <w:rPr>
          <w:rFonts w:ascii="Times New Roman" w:cs="Times New Roman" w:eastAsia="Times New Roman" w:hAnsi="Times New Roman"/>
          <w:sz w:val="18"/>
          <w:szCs w:val="18"/>
          <w:color w:val="auto"/>
        </w:rPr>
        <w:t>” below.</w:t>
      </w:r>
    </w:p>
    <w:p>
      <w:pPr>
        <w:spacing w:after="0" w:line="80"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“All Other Compensation” column for 2024 include (i) contributions of $13,800 made by us to the 401(k) plans of each of our named executive officers and (ii) life insurance premiums paid by us of $1,092 for Dr. Perlmutter and $1,249 for Dr. Baynes. The amounts reported in the “All Other Compensation” column for 2025 include (i) contributions of $14,000 made by us to the 401(k) plans of each of our named executive officers and (ii) life insurance premiums paid by us of $1,081 for Dr. Perlmutter, $1,512 for Mr. Klobuchar and $1,107 for Dr. Baynes. The amount reported for Mr. Klobuchar also includes a $2,400 cash payment in lieu of group health insurance.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Below are descriptions of the employment agreements with our named executive officers. For a discussion of the severance pay and other benefits to be provided in connection with a termination of employment and/or a change in control of the Company under the arrangements with our named executive officers, see the subsection titled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Roger M. Perlmutter, M.D., Ph.D.</w:t>
      </w:r>
    </w:p>
    <w:p>
      <w:pPr>
        <w:spacing w:after="0" w:line="11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January 22, 2026, we entered into an employment agreement with Dr. Perlmutter, or the Perlmutter Employment Agreement, that took effect as of January 22, 2026. The Perlmutter Employment Agreement supersedes a prior employment offer letter, or the Perlmutter Offer Letter, that governed the terms of Dr. Perlmutter’s employment by us, including his salary and bonus. The Perlmutter Employment Agreement sets forth the terms of Dr. Perlmutter’s employment as our Chief Executive Officer and a member of our board and provides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Dr. Perlmutter’s service to us on an at-will basis. The Perlmutter Employment Agreement includes an initial base salary of $695,000, as may be adjusted from time to time. Dr. Perlmutter is also eligible to earn an annual bonus, with a target of 60% of his annual salary.</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Dr. Perlmutter is eligible to participate in the employee benefit plans and programs available to our employees, subject to the terms of such plans. We also agreed to reimburse Dr. Perlmutter for business expenses reasonably incurred in connection with the performance of Dr. Perlmutter’s duties under the Perlmutter Employment Agreement. Dr. Perlmutter is entitled to certain termination benefits pursuant to the Perlmutter Employment Agreement, as described in greater detail in the subsection titled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Dr. Perlmutter has entered into a Confidentiality and Invention Assignment Agreement that contains various restrictive covenants, including confidentiality, non-solicitation, and mandatory arbitration, and which also provides for the assignment of certain intellectual property rights from Dr. Perlmutter to us, among other things.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Klobuchar</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22, 2026, we entered into an employment agreement with Mr. Klobuchar, or the Klobuchar Employment Agreement, that took effect as of January 22, 2026. The Klobuchar Employment Agreement supersedes a prior employment offer letter that governed the terms of Mr. Klobuchar’s employment by us, including his salary and bonus. The Klobuchar Employment Agreement sets forth the terms of Dr. Klobuchar’s employment as our Chief Operating Officer and provides for Mr. Klobuchar’s service to us on an at-will basis. The Klobuchar Employment Agreement includes an initial base salary of $540,000, as may be adjusted from time to time. Mr. Klobuchar is also eligible to earn an annual bonus, with a target of 50% of his annual salary.</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Mr. Klobuchar is eligible to participate in the employee benefit plans and programs available to our employees, including our equity incentive plan, subject to the terms of such plans. We also agreed to reimburse Mr. Klobuchar for business expenses reasonably incurred in connection with the performance of Mr. Klobuchar’s duties under the Klobuchar Employment Agreement. Mr. Klobuchar is entitled to certain termination benefits pursuant to the Klobuchar Employment Agreement, as described in greater detail in the subsection titled “</w:t>
      </w:r>
      <w:r>
        <w:rPr>
          <w:rFonts w:ascii="Times New Roman" w:cs="Times New Roman" w:eastAsia="Times New Roman" w:hAnsi="Times New Roman"/>
          <w:sz w:val="18"/>
          <w:szCs w:val="18"/>
          <w:i w:val="1"/>
          <w:iCs w:val="1"/>
          <w:color w:val="auto"/>
        </w:rPr>
        <w:t>—Potential Payments upon Termination or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Mr. Klobuchar has also entered into a Mutual Agreement to Arbitrate Claims which provides for mandatory arbitration, and an Agreement for Protection of Company Information that contains various restrictive covenants, including confidentiality and non-solicitation, and which also provides for the assignment of certain intellectual property rights from Mr. Klobuchar to us, among other things.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 Baynes, M.D., Ph.D.</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25, 2026, we entered into an employment agreement with Dr. Baynes, or the Baynes Employment Agreement, that took effect as of January 25, 2026. The Baynes Employment Agreement supersedes a prior employment offer letter that governed the terms of Dr. Baynes’ employment by us, including his salary and bonus. The Baynes Employment Agreement sets forth the terms of Dr. Baynes’ employment as our Executive Vice President and Chief Medical Officer and provides for Dr. Baynes’ service to us on an at-will basis. The Baynes Employment Agreement includes an initial base salary of $590,000, as may be adjusted from time to time. Dr. Baynes is also eligible to earn an annual bonus, with a target of 50% of his annual salary.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Dr. Baynes is eligible to participate in the employee benefit plans and programs available to our employees, including our equity incentive plan, subject to the terms of such plans. We also agreed to reimburse Dr. Baynes for business expenses reasonably incurred in connection with the performance of Dr. Baynes’ duties under the Baynes Employment Agreement. Dr. Baynes is entitled to certain termination benefits pursuant to the Baynes Employment Letter, as described in greater detail in the subsection titled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Dr. Baynes has also entered into a Mutual Agreement to Arbitrate Claims which provides for mandatory arbitration, and an Agreement for Protection of Company Information that contains various restrictive covenants,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0" w:name="page221"/>
    <w:bookmarkEnd w:id="22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confidentiality, and which also provides for the assignment of certain intellectual property rights from Dr. Baynes to us, among other things.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employment of any of our named executive officers terminates for any reason, we will pay such named executive officer (or his estate or legal representative, if applicable), any base salary earned through the termination date, any unpaid expense reimbursements, any accrued and unused vacation, and any vested benefits he may have under any of our employee benefit plans.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employment of any of our named executive officers terminates on account of death or disability, subject to the execution of a separation agreement and release with us, we will pay such named executive officer (or his estate or legal representative, if applicable) (i) any unpaid annual bonus in respect of the calendar year prior to the calendar year in which the termination occurs, (ii) a pro-rated annual bonus in respect of the calendar year in which the termination occurs, and (iii) for any equity incentive awards which have not vested, an additional 12 months of vesting.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Roger M. Perlmutter, M.D., Ph.D.</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Perlmutter Employment Agreement, if Dr. Perlmutter’s employment is terminated without cause or if he resigns for good reason (cause and good reason each as defined in the Perlmutter Employment Agreement), Dr. Perlmutter will be entitled to receive, subject to his execution of a release and waiver of claims agreement with us, (i) 12 months of his base salary as of the date of termination, payable in a lump sum, and (ii) payment of the full amount of premiums for COBRA continuation coverage for up to 12 months; if such termination occurs within three months prior to or within 12 months following a change in control (as defined in the Perlmutter Employment Agreement), the amount of the lump sum payment shall be increased to 18 months and the COBRA continuation coverage period will be increased to up to 18 months. Dr. Perlmutter will also be entitled to receive (i) any unpaid annual bonus in respect of the calendar year prior to the calendar year in which the termination occurs and (ii) a pro-rated annual bonus in respect of the calendar year in which the termination occurs.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any equity incentive awards held by Dr. Perlmutter which have not vested will be accelerated for an additional 12 months of vesting; if such termination occurs within three months prior to or within 12 months following a change in control, any equity incentive awards held by Dr. Perlmutter will vest in full (with any performance metrics deemed achieved at target).</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Payments and benefits provided to Dr. Perlmutter in connection with a change in control may not be eligible for a federal income tax deduction by us pursuant to Section 280G of the Code. These payments and benefits may also subject Dr. Perlmutter to an excise tax under Section 4999 of the Code. If these payments and benefits would be subject to the excise tax imposed under Section 4999 of the Code, then such payments and benefits will be reduced if such reduction would result in a higher net after-tax benefit to him.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Klobuchar</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Klobuchar Employment Agreement, if Mr. Klobuchar’s employment is terminated without cause or if he resigns for good reason (cause and good reason each as defined in the Klobuchar Employment Agreement), Mr. Klobuchar will be entitled to receive, subject to his execution of a release and waiver of claims agreement with us, (i) nine months of his base salary as of the date of termination, payable in a lump sum, and (ii) payment of the full amount of premiums for COBRA continuation coverage for up to nine months; if such termination occurs within three months prior to or within 12 months following a change in control (as defined in the Klobuchar Employment Agreement), the amount of the lump sum payment shall be increased to 12 months and the COBRA continuation coverage period will be increased to up to 12 months. Mr. Klobuchar will also be entitled to receive (i) any unpaid annual bonus in respect of the calendar year prior to the calendar year in which the termination occurs and (ii) a pro-rated annual bonus in respect of the calendar year in which the termination occurs.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such termination occurs within three months prior to or within 12 months following a change in control, any equity incentive awards held by Mr. Klobuchar will vest in full (with any performance metrics deemed achieved at target).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Payments and benefits provided to Mr. Klobuchar in connection with a change in control may not be eligible for a federal income tax deduction by us pursuant to Section 280G of the Code. These payments and benefits may also subject Mr. Klobuchar to an excise tax under Section 4999 of the Code. If these payments and benefits would be subject to the excise tax imposed under Section 4999 of the Code, then such payments and benefits will be reduced if such reduction would result in a higher net after-tax benefit to him.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 Baynes, M.D., Ph.D.</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Baynes Employment Agreement, if Dr. Baynes’ employment is terminated without cause or if he resigns for good reason (cause and good reason each as defined in the Baynes Employment Agreement), Dr. Baynes will be entitled to receive, subject to his execution of a release and waiver of claims agreement with us, (i) nine months of his base salary as of the date of termination, payable in a lump sum, and (ii) payment of the full amount of premiums for COBRA continuation coverage for up to nine months; if such termination occurs within three months prior to or within 12 months following a change in control (as defined in the Baynes Employment Agreement), the amount of the lump sum payment shall be increased to 12 months and the COBRA continuation coverage period will be increased to up to 12 months. Dr. Baynes will also be entitled to receive (i) any unpaid annual bonus in respect of the calendar year prior to the calendar year in which the termination occurs and (ii) a pro-rated annual bonus in respect of the calendar year in which the termination occurs.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such termination occurs within three months prior to or within 12 months following a change in control, any equity incentive awards held by Dr. Baynes will vest in full (with any performance metrics deemed achieved at target).</w:t>
      </w:r>
    </w:p>
    <w:p>
      <w:pPr>
        <w:spacing w:after="0" w:line="16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Payments and benefits provided to Dr. Baynes in connection with a change in control may not be eligible for a federal income tax deduction by us pursuant to Section 280G of the Code. These payments and benefits may also subject Dr. Baynes to an excise tax under Section 4999 of the Code. If these payments and benefits would be subject to the excise tax imposed under Section 4999 of the Code, then such payments and benefits will be reduced if such reduction would result in a higher net after-tax benefit to him.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medical, dental, vision, disability, life insurance and 401(k) plans, offered to other employees of the Company. We generally do not provide perquisites or personal benefits to our named executive officers, except in limited circumstances. During 2025 and 2024, none of our named executive officers received perquisites or personal benefits other than Mr. Klobuchar, who received a cash payment in lieu of group health insurance as identified above in the subsection 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 above. Our board of directors may elect to adopt qualified or non-qualified benefit plans in the future if it determines that doing so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best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our named executive officers at December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2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4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2"/>
        </w:trPr>
        <w:tc>
          <w:tcPr>
            <w:tcW w:w="3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Roger M. Perlmutter, M.D., Ph.D.</w:t>
            </w:r>
          </w:p>
        </w:tc>
        <w:tc>
          <w:tcPr>
            <w:tcW w:w="1340" w:type="dxa"/>
            <w:vAlign w:val="bottom"/>
            <w:gridSpan w:val="3"/>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2/4/2022</w:t>
            </w:r>
            <w:r>
              <w:rPr>
                <w:rFonts w:ascii="Times New Roman" w:cs="Times New Roman" w:eastAsia="Times New Roman" w:hAnsi="Times New Roman"/>
                <w:sz w:val="21"/>
                <w:szCs w:val="21"/>
                <w:color w:val="auto"/>
                <w:vertAlign w:val="superscript"/>
              </w:rPr>
              <w:t>(2)</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1/6/2022</w:t>
            </w:r>
          </w:p>
        </w:tc>
        <w:tc>
          <w:tcPr>
            <w:tcW w:w="1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851,857</w:t>
            </w:r>
          </w:p>
        </w:tc>
        <w:tc>
          <w:tcPr>
            <w:tcW w:w="4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w:t>
            </w: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18,124</w:t>
            </w:r>
          </w:p>
        </w:tc>
        <w:tc>
          <w:tcPr>
            <w:tcW w:w="4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w:t>
            </w: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9.85</w:t>
            </w:r>
          </w:p>
        </w:tc>
        <w:tc>
          <w:tcPr>
            <w:tcW w:w="4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2/3/2032</w:t>
            </w:r>
          </w:p>
        </w:tc>
        <w:tc>
          <w:tcPr>
            <w:tcW w:w="0" w:type="dxa"/>
            <w:vAlign w:val="bottom"/>
          </w:tcPr>
          <w:p>
            <w:pPr>
              <w:spacing w:after="0"/>
              <w:rPr>
                <w:sz w:val="1"/>
                <w:szCs w:val="1"/>
                <w:color w:val="auto"/>
              </w:rPr>
            </w:pPr>
          </w:p>
        </w:tc>
      </w:tr>
      <w:tr>
        <w:trPr>
          <w:trHeight w:val="217"/>
        </w:trPr>
        <w:tc>
          <w:tcPr>
            <w:tcW w:w="314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80"/>
              <w:spacing w:after="0" w:line="217" w:lineRule="exact"/>
              <w:rPr>
                <w:sz w:val="20"/>
                <w:szCs w:val="20"/>
                <w:color w:val="auto"/>
              </w:rPr>
            </w:pPr>
            <w:r>
              <w:rPr>
                <w:rFonts w:ascii="Times New Roman" w:cs="Times New Roman" w:eastAsia="Times New Roman" w:hAnsi="Times New Roman"/>
                <w:sz w:val="16"/>
                <w:szCs w:val="16"/>
                <w:color w:val="auto"/>
              </w:rPr>
              <w:t>4/2/2025</w:t>
            </w:r>
            <w:r>
              <w:rPr>
                <w:rFonts w:ascii="Times New Roman" w:cs="Times New Roman" w:eastAsia="Times New Roman" w:hAnsi="Times New Roman"/>
                <w:sz w:val="21"/>
                <w:szCs w:val="21"/>
                <w:color w:val="auto"/>
                <w:vertAlign w:val="superscript"/>
              </w:rPr>
              <w:t>(3)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368,610</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1,239,871</w:t>
            </w: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4/1/2035</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Michael Klobuchar</w:t>
            </w:r>
          </w:p>
        </w:tc>
        <w:tc>
          <w:tcPr>
            <w:tcW w:w="1340" w:type="dxa"/>
            <w:vAlign w:val="bottom"/>
            <w:gridSpan w:val="3"/>
          </w:tcPr>
          <w:p>
            <w:pPr>
              <w:jc w:val="right"/>
              <w:ind w:right="180"/>
              <w:spacing w:after="0" w:line="189" w:lineRule="exact"/>
              <w:rPr>
                <w:sz w:val="20"/>
                <w:szCs w:val="20"/>
                <w:color w:val="auto"/>
              </w:rPr>
            </w:pPr>
            <w:r>
              <w:rPr>
                <w:rFonts w:ascii="Times New Roman" w:cs="Times New Roman" w:eastAsia="Times New Roman" w:hAnsi="Times New Roman"/>
                <w:sz w:val="16"/>
                <w:szCs w:val="16"/>
                <w:color w:val="auto"/>
              </w:rPr>
              <w:t>5/3/2025</w:t>
            </w:r>
            <w:r>
              <w:rPr>
                <w:rFonts w:ascii="Times New Roman" w:cs="Times New Roman" w:eastAsia="Times New Roman" w:hAnsi="Times New Roman"/>
                <w:sz w:val="21"/>
                <w:szCs w:val="21"/>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41,902</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92,185</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5/2/2035</w:t>
            </w:r>
          </w:p>
        </w:tc>
        <w:tc>
          <w:tcPr>
            <w:tcW w:w="0" w:type="dxa"/>
            <w:vAlign w:val="bottom"/>
          </w:tcPr>
          <w:p>
            <w:pPr>
              <w:spacing w:after="0"/>
              <w:rPr>
                <w:sz w:val="1"/>
                <w:szCs w:val="1"/>
                <w:color w:val="auto"/>
              </w:rPr>
            </w:pPr>
          </w:p>
        </w:tc>
      </w:tr>
      <w:tr>
        <w:trPr>
          <w:trHeight w:val="213"/>
        </w:trPr>
        <w:tc>
          <w:tcPr>
            <w:tcW w:w="3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9,219</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31,007</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5/2/2035</w:t>
            </w:r>
          </w:p>
        </w:tc>
        <w:tc>
          <w:tcPr>
            <w:tcW w:w="0" w:type="dxa"/>
            <w:vAlign w:val="bottom"/>
          </w:tcPr>
          <w:p>
            <w:pPr>
              <w:spacing w:after="0"/>
              <w:rPr>
                <w:sz w:val="1"/>
                <w:szCs w:val="1"/>
                <w:color w:val="auto"/>
              </w:rPr>
            </w:pPr>
          </w:p>
        </w:tc>
      </w:tr>
      <w:tr>
        <w:trPr>
          <w:trHeight w:val="19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Roy Baynes, M.D., Ph.D.</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3/11/2024</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1/2/2024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4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3/10/2034</w:t>
            </w:r>
          </w:p>
        </w:tc>
        <w:tc>
          <w:tcPr>
            <w:tcW w:w="0" w:type="dxa"/>
            <w:vAlign w:val="bottom"/>
          </w:tcPr>
          <w:p>
            <w:pPr>
              <w:spacing w:after="0"/>
              <w:rPr>
                <w:sz w:val="1"/>
                <w:szCs w:val="1"/>
                <w:color w:val="auto"/>
              </w:rPr>
            </w:pPr>
          </w:p>
        </w:tc>
      </w:tr>
      <w:tr>
        <w:trPr>
          <w:trHeight w:val="217"/>
        </w:trPr>
        <w:tc>
          <w:tcPr>
            <w:tcW w:w="3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line="217"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4/1/2022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122,541</w:t>
            </w:r>
          </w:p>
        </w:tc>
        <w:tc>
          <w:tcPr>
            <w:tcW w:w="4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11,546</w:t>
            </w:r>
          </w:p>
        </w:tc>
        <w:tc>
          <w:tcPr>
            <w:tcW w:w="4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5/30/2032</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4/2/2025</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23,353</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78,553</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4/1/2035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right="720" w:hanging="512"/>
        <w:spacing w:after="0" w:line="282"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Except as otherwise indicated, each stock option award and stock award is subject to the terms of the 2019 Plan and vests in equal monthly installments over four years, provided the named executive officer remains employed with us as of the applicable vesting date.</w:t>
      </w:r>
    </w:p>
    <w:p>
      <w:pPr>
        <w:spacing w:after="0" w:line="53" w:lineRule="exact"/>
        <w:rPr>
          <w:rFonts w:ascii="Times New Roman" w:cs="Times New Roman" w:eastAsia="Times New Roman" w:hAnsi="Times New Roman"/>
          <w:sz w:val="18"/>
          <w:szCs w:val="18"/>
          <w:color w:val="231F20"/>
        </w:rPr>
      </w:pPr>
    </w:p>
    <w:p>
      <w:pPr>
        <w:ind w:left="520" w:right="260" w:hanging="512"/>
        <w:spacing w:after="0" w:line="266"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 option award is subject to the terms of a stock option agreement, dated February 4, 2022, between Dr. Perlmutter and us, as amended and restated to reflect a repricing on April 2, 2025 to an exercise price of $9.85 per share. The stock option award vests in equal monthly installments over four years, provided Dr. Perlmutter remains employed with us as of the applicable vesting date.</w:t>
      </w:r>
    </w:p>
    <w:p>
      <w:pPr>
        <w:spacing w:after="0" w:line="67" w:lineRule="exact"/>
        <w:rPr>
          <w:rFonts w:ascii="Times New Roman" w:cs="Times New Roman" w:eastAsia="Times New Roman" w:hAnsi="Times New Roman"/>
          <w:sz w:val="18"/>
          <w:szCs w:val="18"/>
          <w:color w:val="231F20"/>
        </w:rPr>
      </w:pPr>
    </w:p>
    <w:p>
      <w:pPr>
        <w:ind w:left="520" w:right="160" w:hanging="512"/>
        <w:spacing w:after="0" w:line="282"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 option award is subject to the terms of a stock option agreement, dated May 6, 2025, between Dr. Perlmutter and us. The stock option award vests in equal monthly installments over four years, provided Dr. Perlmutter remains employed with us as of the applicable vesting date.</w:t>
      </w:r>
    </w:p>
    <w:p>
      <w:pPr>
        <w:spacing w:after="0" w:line="53" w:lineRule="exact"/>
        <w:rPr>
          <w:rFonts w:ascii="Times New Roman" w:cs="Times New Roman" w:eastAsia="Times New Roman" w:hAnsi="Times New Roman"/>
          <w:sz w:val="18"/>
          <w:szCs w:val="18"/>
          <w:color w:val="231F20"/>
        </w:rPr>
      </w:pPr>
    </w:p>
    <w:p>
      <w:pPr>
        <w:ind w:left="520" w:right="460" w:hanging="512"/>
        <w:spacing w:after="0" w:line="266"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This stock option award vests according to the following schedule: initially 1/4th of the option vests on the vesting start date, and 1/48th of the option vests on the one-year anniversary of the vesting start date and thereafter in equal monthly installments for 35 months, provided Mr. Klobuchar remains employed with us as of the applicable vesting date.</w:t>
      </w:r>
    </w:p>
    <w:p>
      <w:pPr>
        <w:spacing w:after="0" w:line="67" w:lineRule="exact"/>
        <w:rPr>
          <w:rFonts w:ascii="Times New Roman" w:cs="Times New Roman" w:eastAsia="Times New Roman" w:hAnsi="Times New Roman"/>
          <w:sz w:val="18"/>
          <w:szCs w:val="18"/>
          <w:color w:val="231F20"/>
        </w:rPr>
      </w:pPr>
    </w:p>
    <w:p>
      <w:pPr>
        <w:jc w:val="both"/>
        <w:ind w:left="520" w:right="240" w:hanging="512"/>
        <w:spacing w:after="0" w:line="266"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This stock option award vests over four years according to the following schedule: initially during a period while Dr. Baynes provided consulting services to the Company, 1/96th per month, and thereafter in equal monthly installments over the remainder of such period, provided Dr. Baynes remains employed with us as of the applicable vesting date.</w:t>
      </w:r>
    </w:p>
    <w:p>
      <w:pPr>
        <w:spacing w:after="0" w:line="67" w:lineRule="exact"/>
        <w:rPr>
          <w:rFonts w:ascii="Times New Roman" w:cs="Times New Roman" w:eastAsia="Times New Roman" w:hAnsi="Times New Roman"/>
          <w:sz w:val="18"/>
          <w:szCs w:val="18"/>
          <w:color w:val="231F20"/>
        </w:rPr>
      </w:pPr>
    </w:p>
    <w:p>
      <w:pPr>
        <w:ind w:left="520" w:right="200" w:hanging="512"/>
        <w:spacing w:after="0" w:line="266"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Because this stock option award was exercisable immediately subject to a repurchase right in favor of the Company that lapses as the stock option vests, this amount reflects the number of stock options held by the named executive officer that was exercisable and vested as of December 31, 2025.</w:t>
      </w:r>
    </w:p>
    <w:p>
      <w:pPr>
        <w:spacing w:after="0" w:line="67" w:lineRule="exact"/>
        <w:rPr>
          <w:rFonts w:ascii="Times New Roman" w:cs="Times New Roman" w:eastAsia="Times New Roman" w:hAnsi="Times New Roman"/>
          <w:sz w:val="18"/>
          <w:szCs w:val="18"/>
          <w:color w:val="231F20"/>
        </w:rPr>
      </w:pPr>
    </w:p>
    <w:p>
      <w:pPr>
        <w:jc w:val="both"/>
        <w:ind w:left="520" w:right="200" w:hanging="512"/>
        <w:spacing w:after="0" w:line="266" w:lineRule="auto"/>
        <w:tabs>
          <w:tab w:leader="none" w:pos="52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Because this stock option award was exercisable immediately subject to a repurchase right in favor of the Company that lapses as the stock option vests, this amount reflects the number of stock options held by the named executive officer that was exercisable and unvested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119"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initially approved the 2019 Plan on September 19, 2019, and the Plan was most recently amended in April 2025. No further awards will be made under the 2019 Plan; however, awards outstanding under the 2019 Plan will continue to be governed by their existing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As of December 31, 2025, we had authorized 5,527,457 shares of our common stock for issuance under the 2019 Plan. As of December 31, 2025, options to purchase 5,513,142 shares of our common stock, at exercise prices ranging from $0.60 to $27.67 per share, or a weighted-average exercise price of $9.70 per share, were outstanding under the 2019 Plan, and 1,449,522 shares of our common stock remained available for future issuance under the 2019 Plan.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Our board of directors, or a committee thereof, has administered the 2019 Plan since its adoption; however, following our initial public offering, the Compensation Committee of our board of directors generally administers the 2019 Plan. The administrator has complete discretion, in keeping with the express terms of the 2019 Plan, to make all determinations relating to the 2019 Plan and outstanding awards.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Employees, officers, members of our board of directors, and consultants are eligible to participate in the 2019 Plan. However, only employees (including officers and employee directors) are eligible to receive ISOs (as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2019 Plan provides for the following types of awards granted with respect to shares of our common stock:</w:t>
      </w:r>
    </w:p>
    <w:p>
      <w:pPr>
        <w:spacing w:after="0" w:line="117"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or ISOs, and nonqualified stock options, NQSOs, to purchase shares of our common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common stock.</w:t>
      </w:r>
    </w:p>
    <w:p>
      <w:pPr>
        <w:spacing w:after="0" w:line="3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The exercise price for options granted under the 2019 Plan is determined at the time of grant, but the exercise price must be at a price no less than 100% of the fair market value of our common stock on the grant date, as determined by the board of directors. If the exercise price of an NQSO is less than 100% of the fair market value, it should otherwise comply with all applicable laws. If an employee owns more than 10% of the total combined voting power of all classes of our capital stock, the exercise price of any ISO granted to such person should not be less than 110% of the fair market value of our common stock on the grant date. Optionholders may pay the exercise price in cash or, where expressly provided in an option agreement or otherwise approved by the committee, and where permitted by applicable law, payment may be made by one or more of the following methods:</w:t>
      </w:r>
    </w:p>
    <w:p>
      <w:pPr>
        <w:spacing w:after="0" w:line="201"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our indebtedness owed to the optionholder;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past services rendered to us;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surrendering shares of common stock that are already owned by the optionholder, provided such shares are surrendered in good form for transfer, clear of all liens, claims, encumbrances, or security interests;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tender of a promissory note; provided, however, that the portion of the exercise price equal to the par value of the shares must be paid in cash or other legal consideration;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if a public market for the common stock exists, by the delivery of a direction to a securities broker approved by us to sell shares and to deliver all or part of the sales proceeds to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arrangement;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form permitted by applicable law;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ten years after they are granted. If the optionholder owns more than 10% of the total combined voting power of all classes of our capital stock, the expiration date of any ISO granted to such person will be no more than five years from the grant date.</w:t>
      </w:r>
    </w:p>
    <w:p>
      <w:pPr>
        <w:spacing w:after="0" w:line="17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Restricted shares may be awarded under the 2019 Plan subject to the terms, conditions, and restrictions as determined by the administrator in its sole discretion. If the recipient’s service terminates, we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to repurchase those shares. Upon a grant of restricted shares, the recipient will have the same rights as a stockholder with respect to those shares.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that we are a party to a merger or consolidation in which we are not the surviving corporation or a merger in which we are the surviving corporation but our stockholders prior to the merger cease to own their shares, or in the event of a sale of all or substantially all of our assets, outstanding option awards under the 2019 Plan will be subject to the agreement governing such transaction, subject to any greater rights granted to optionholders under the 2019 Plan. The following treatment of outstanding option awards is permitted in the event of such transaction:</w:t>
      </w:r>
    </w:p>
    <w:p>
      <w:pPr>
        <w:spacing w:after="0" w:line="288"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acquiring corporation may assume, convert, or replace any or all outstanding options;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acquiring corporation may substitute equivalent options or provide substantially similar consideration as was provided to stockholders (after taking into account the existing provisions of the outstanding option awards); or</w:t>
      </w:r>
    </w:p>
    <w:p>
      <w:pPr>
        <w:spacing w:after="0" w:line="5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acquiring corporation may substitute by issuing, in place of our outstanding shares, substantially similar shares or other property subject to repurchase restrictions and other provisions no less favorable to optionholder than those which applied to such outstanding shares prior to the transaction.</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 successor or acquiring company refuses to assume, covert, replace, or substitute options, such options will expire on such transaction at such time and on such conditions as the administrator will determine, and the administrator will notify the optionholder that such option will terminate at least five days prior to the date the option terminates. The administrator has the sole discretion to provide that an option granted under the 2019 Plan will vest on an accelerated basis in connection with such corporate transaction such that such option will become vested and exercisable in full or part prior to the consummation of such transaction.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the number of outstanding shares of our common stock is changed by a stock dividend, recapitalization, stock split, reverse stock split, subdivision, combination, reclassification, or similar change in our capital structure without consideration, consolidation, subdivision of the shares, a rights offering, a reorganization, merger, spin-off, or split-up, proportionate adjustments to the terms of outstanding awards will be made by the administrator, subject to any required action by our board of directors or our stockholders and in compliance with applicable securities laws and provided that fractions of a share will either be paid in cash at the fair market value of such fraction of a share or will be rounded down to the nearest whole share, as determined by the administrator. The exercise price of any outstanding option may not be decreased below the par value of our common stock under such proportionate adjustment.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Amendments or Termination</w:t>
      </w:r>
      <w:r>
        <w:rPr>
          <w:rFonts w:ascii="Times New Roman" w:cs="Times New Roman" w:eastAsia="Times New Roman" w:hAnsi="Times New Roman"/>
          <w:sz w:val="18"/>
          <w:szCs w:val="18"/>
          <w:color w:val="auto"/>
        </w:rPr>
        <w:t>: Our board of directors may at any time terminate or amend the 2019 Plan, subject to stockholder approval in the case of an amendment in any manner that requires such stockholder approval pursuant to Section 25102(o) of the California Corporations Code or the Code or the regulations promulgated thereunder as such provisions apply to ISO plans. No amendment of the 2019 Plan can be made that would materially and adversely affect the rights of any optionholder without his or her consent. The 2019 Plan will terminate automatically ten years after the effective date or, if earlier, the date of stockholder approval.</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S-8 to register all of the shares of our common stock reserved for issuance pursuant to outstanding awards granted under the 2019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Long-Term Incentive Plan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incentivize our employees and other service providers, our board of directors has adopted, and our stockholders have approved, the Eikon Therapeutics, Inc. 2026 Long-Term Incentive Plan, or the 2026 Plan, effective February 3, 2026. The material terms of the 2026 Plan are summarized below. The purpose of the 2026 Plan is to attract and retain the best available personnel, incentivize service providers, promote the success of our business and strengthen the mutuality of interest between eligible service providers and our stockholders. At the time the 2026 Plan becomes effective, no further grants may be made under the 2019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2026 Plan provides for the grant of incentive stock options, or ISOs, within the meaning of Section 422 of the Code, to our employees and our parent and subsidiary corporations’ consultants, and for the grant of nonstatutory stock options, or NSOs, stock appreciation rights, restricted stock, restricted stock units, unrestricted stock, performance-based awards and other stock-based awards or cash incentives, to our employees, directors and consultants and any of our affiliates’ employees and consultants.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Initially, 4,137,117 shares of our common stock are reserved for issuance under the 2026 Plan, subject to increase by a number of shares of our common stock equal to the number of shares subject to outstanding stock options or other stock awards granted under the 2019 Plan that, following the effective date of the 2026 Plan, are forfeited, canceled, reacquired by the Company prior to vesting, expired (whether voluntarily or involuntarily), settled in cash or otherwise satisfied without the issuance of shares, withheld upon exercise of an option or settlement of an award to cover the exercise price or tax withholding, surrendered pursuant to an exchange or otherwise terminated (other than by exercise). The number of shares of our common stock that will be reserved for issuance under the 2026 Plan will automatically increase on January 1 of each year, beginning on January 1, 2027 and continuing through January 1, 2036, in an amount equal to 5% of the total number of shares of our capital stock outstanding on December 31 of the preceding year; provided, however, that our board of directors may act prior to January 1 of a given year to provide that the increase for such year will be a lesser number of shares of our common stock. The maximum number of shares of our common stock that may be issued upon the exercise of ISOs under the 2026 Plan is 28,328,035.</w:t>
      </w:r>
    </w:p>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Shares subject to awards that will be granted under the 2026 Plan that are forfeited, canceled or reacquired by us, or which expire or otherwise terminate without being exercised in full, will become or again be available under the 2026 Plan. The settlement of any portion of an award in cash will not reduce the number of shares available for issuance under the 2026 Plan. Shares withheld under an award to satisfy the exercise, strike or purchase price of an award or to satisfy a tax withholding obligation will become or again be available under the 2026 Plan. With respect to a stock appreciation right, only shares of our common stock that are issued upon settlement of the stock appreciation right will count towards reducing the number of shares available for issuance under the 2026 Plan. If any shares of our common stock issued pursuant to an award are forfeited back to or repurchased or reacquired by us because of a failure to meet a contingency or condition required to vest such shares in the grantee, a right of first refusal, a forfeiture provision or repurchase by us, then the shares that are forfeited or reacquired will, as applicable, become or again be available for future grant and issuance under the 2026 Plan.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 Our board of directors, or a duly authorized committee of our board of directors, will administer the 2026 Plan. Our board of directors, or a duly authorized committee of our board of directors, may, in accordance with the terms of the 2026 Plan, delegate to one or more of our officers the power to grant awards under the 2026 Plan to employees or officers (other than to themselves or members of their immediate family), provided, that our board of directors, or a duly authorized committee of our board of directors, will fix certain material terms of the awards to be granted by any such officer and will fix a maximum number of shares subject to awards that the officers may grant. Under the 2026 Plan, our board of directors, or a duly authorized committee of our board of directors, will have the authority to, among other things, 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 The plan administrator also has the authority to determine the fair market value of the awards; prescribe and amend the terms of or form of any award agreement; amend, modify or terminate any outstanding award subject to the terms of the 2026 Plan; and construe and interpret the provisions of the 2026 Plan and any award agreement granted thereunder. Our board of directors may accelerate the time at which an award granted under the 2026 Plan may first be exercised or the time during which an award grant under the 2026 Plan or any part thereof will vest, notwithstanding the provisions in the award agreement stating the time at which it may first be exercised or the time during which it will vest.</w:t>
      </w:r>
    </w:p>
    <w:p>
      <w:pPr>
        <w:spacing w:after="0" w:line="19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Under the 2026 Plan, the plan administrator will not, without the participant’s consent, amend, modify or terminate any outstanding award and award agreement, unless the plan administrator determines that (i) that the action, taking into account any related action, would not materially and adversely affect the grantee’s rights under the 2026 Plan, (ii) the change is permitted under another section of the 2026 Plan, including with respect to changes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awards to foreign grantees, in the event of certain corporate adjustments and upon certain corporate transactions and (iii) the plan administrator determines that the action is required or advisable in order for us, the 2026 Plan, or the award to satisfy any law or regulation or to meet the requirements of or avoid adverse financial accounting consequences under any accounting standard. We may not, at any time when the exercise price of an option or stock appreciation right is above the fair market value of a share of our common stock, reduce the exercise price of such option or stock appreciation right or exchange such option or stock appreciation right for a new award with a lower (or no) exercise price or for cash without obtaining stockholder approval.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ISOs and NSOs will be granted under stock option agreements adopted by the plan administrator. The plan administrator will determine the exercise price for stock options, within the terms and conditions of the 2026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Options granted under the 2026 Plan will vest at the rate specified in the stock option agreement as will be determined by the plan administrator. The terms and conditions of separate options need not be identical.</w:t>
      </w:r>
    </w:p>
    <w:p>
      <w:pPr>
        <w:spacing w:after="0" w:line="18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No option will be exercisable after the expiration of ten years (or five years in the case of ISOs granted to a ten percent stockholder) or a shorter period specified in the applicable award agreement.</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(i) cash; (ii) check; (iii) to the extent permitted under applicable law, delivery of a promissory note with such recourse, interest, security, redemption and other provisions as the plan administrator determines to be appropriate; (iv) cancellation of indebtedness; (v) subject to certain conditions, the tender of shares of our common stock previously owned by the optionholder; (vi) a broker-assisted cashless exercise; (vii) other legal consideration approved by the plan administrator; or (viii) any combination of the foregoing methods of payment.</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u w:val="single" w:color="auto"/>
          <w:color w:val="auto"/>
        </w:rPr>
        <w:t>Tax Limitations on ISOs</w:t>
      </w:r>
      <w:r>
        <w:rPr>
          <w:rFonts w:ascii="Times New Roman" w:cs="Times New Roman" w:eastAsia="Times New Roman" w:hAnsi="Times New Roman"/>
          <w:sz w:val="18"/>
          <w:szCs w:val="18"/>
          <w:color w:val="auto"/>
        </w:rPr>
        <w:t>. The aggregate fair market value, determined at the time of grant, of our common stock with respect to ISOs that are 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Restricted Stock Unit Awards</w:t>
      </w:r>
      <w:r>
        <w:rPr>
          <w:rFonts w:ascii="Times New Roman" w:cs="Times New Roman" w:eastAsia="Times New Roman" w:hAnsi="Times New Roman"/>
          <w:sz w:val="18"/>
          <w:szCs w:val="18"/>
          <w:color w:val="auto"/>
        </w:rPr>
        <w:t>. Subject to the terms of the 2026 Plan, each restricted stock unit award will have such terms and conditions as determined by the plan administrator. A restricted stock unit is an award based on the value of our common stock that is an unfunded and unsecured promise to deliver shares, cash or other property upon the attainment of specified vesting or performance conditions as determined by the plan administrator and set forth in the applicable award agreement.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A restricted stock unit award may be settled in any form specified by the plan administrator in the award agreement, including, but not limited to, the delivery of shares, cash or a combination of cash and shares as deemed appropriate by the plan administrator. At the time of grant, the plan administrator may determine to impose such restrictions or conditions that delay such delivery to a date following the vesting of the restricted stock unit award.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Restricted stock awards will be granted under restricted stock award agreements adopted by the plan administrator. The plan administrator will determine the terms and conditions of restricted stock awards, including vesting and forfeiture terms. Dividends or dividend equivalents shall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unless determined otherwise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Stock appreciation rights will be granted under stock appreciation right agreements adopted by the plan administrator and will be a right entitling the grantee to shares, other property or cash compensation, as determined by the plan administrator and set forth in the applicable award agreement, measured by appreciation in the value of common stock.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2026 Plan will vest at the rate specified in the stock appreciation right agreement as will be determined by the plan administrator. Stock appreciation rights may be settled in cash or shares of our common stock (or any combination of our common stock and cash) or in any other form of payment, as determined by our board of directors and specified in the stock appreciation right agreement.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administrator will determine the term of stock appreciation rights granted under the 2026 Plan, up to a maximum of 10 years.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Performance awards subject to vesting or payment based on achievement of certain performance goals may be granted under the 2026 Plan. The plan administrator will determine the terms and conditions of performance awards. At the expiration of the applicable performance period, the plan administrator will evaluate the performance award holder’s and/or the Company’s performance in light of any performance goals for such performance award, and will determine the number of shares of common stock (or other applicable payment measures) which have been earned. Each performance award will be subject to an award agreement.</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Other Stock Awards</w:t>
      </w:r>
      <w:r>
        <w:rPr>
          <w:rFonts w:ascii="Times New Roman" w:cs="Times New Roman" w:eastAsia="Times New Roman" w:hAnsi="Times New Roman"/>
          <w:sz w:val="18"/>
          <w:szCs w:val="18"/>
          <w:color w:val="auto"/>
        </w:rPr>
        <w:t>. The plan administrator will be permitted to grant other awards, based in whole or in part by reference to, or otherwise based on, our common stock, either alone or in addition to other awards. The plan administrator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 as a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the plan administrator may equitably adjust (i) the number and class of securities available under the 2026 Plan, including the number of ISOs authorized under the 2026 Plan, (ii) the number and class of securities and exercise price per share of each outstanding option and stock appreciation right, (iii) the number of shares subject to and the repurchase price per share subject to each outstanding restricted stock award (or restricted share arrangement pursuant to each “early exercised” option) and restricted stock unit award, and (iv) the terms of each other outstanding award, in each case granted under the 2026 Plan.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 corporate transaction (as defined below), unless otherwise provided in a participant’s award agreement or other written agreement with us, the plan administrator, in its sole discretion, may provide, with respect to all outstanding awards or on an award-by-award basis, for the awards to become immediately vested and exercisable or non-forfeitable, cause any award to be assumed by the surviving or successor company or canceled in exchange for substitute stock options or stock appreciation rights in a manner consistent with the U.S. treasury regulations, cause any award to be canceled in exchange for consideration equivalent to that paid to our stockholders. If the surviving or acquiring corporation (or its parent company) does not assume, continue or substitute for such awards, then with respect to any such outstanding awards, the vesting (and exercisability, if applicable) of such awards will be accelerated in full to a date prior to the effective time of the corporate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2026 Plan governing a corporate transaction involving us.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2026 Plan, a “corporate transaction” generally will be the consummation, in a single transaction or in a series of related transactions, of (i) a sale, lease, exclusive license or other disposition of all or substantially all, as determined by our board of directors, of our consolidated assets unless our stockholders immediately before such consolidation, merger or other transaction own, directly or indirectly, a majority of the combined voting power of the outstanding voting securities of the purchaser of the assets; (ii) a sale or other disposition in which any person, other than any person who prior to such transaction or series of related transactions owns more than a majority of our common stock, becomes the beneficial owner of at least 50% of our outstanding securities; (iii) a merger, consolidation or similar transaction unless our stockholders immediately before such merger, consolidation or similar transaction own, directly or indirectly, a majority of the combined voting power of the outstanding voting securities of the corporation or other entity resulting from such merger, consolidation or similar transaction; (iv) individuals who constitute our board of directors on the date the 2026 Plan is approved by our board of directors (referred to as the incumbent board) cease for any reason to constitute at least a majority of our board of directors (for this purpose, any board member whose appointment or election is approved or recommended by a majority of the incumbent board will be considered a member of the incumbent board); or (v) the liquidation, dissolution, or winding up of the Company.</w:t>
      </w:r>
    </w:p>
    <w:p>
      <w:pPr>
        <w:spacing w:after="0" w:line="1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expressly provided in the 2026 Plan or the form of award agreement, unless the plan administrator provides otherwise, awards generally will not be transferable. The plan administrator may provide that an award be transferable by will or the laws of descent and distribution or as permitted by applicable law.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of directors may impose such other clawback, recovery or recoupment provisions in an award agreement as our board of directors determines necessary or appropriate, including but not limited to a reacquisition right in respect of previously acquired shares of our common stock or other cash or property upon the occurrence of cause.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 Our board of directors will have the authority to amend, suspend or terminate the 2026 Plan at any time, provided that such action does not materially impair the existing rights of any participant without such participant’s written consent. Certain material amendments will also require the approval of our stockholders. The 2026 Plan will continue until the date immediately prior to the ten-year anniversary of its effective date, unless terminated sooner. However, no ISOs may be granted after the ten-year anniversary of the earlier of (i) the effective date of the Board’s adoption of the 2026 Plan or (ii) the date the Company’s stockholders approve the 2026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filed a registration statement on Form S-8 to register all of the shares of our common stock reserved for issuance under the 2026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Employee Stock Purchase Plan</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and our stockholders have approved, the 2026 Employee Stock Purchase Plan, or the ESPP, effective February 4, 2026. The material terms of the ESPP are summarized below. Under the ESPP, we are authorized to offer eligible employees the ability to purchase shares of our common stock at a discount, subject to various limitations.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However, with regard to offers of options for purchase of shares of our common stock under the ESPP to employees outside the United States working for one of our subsidiaries or an affiliates, our board of directors may offer a sub-plan or an option that is not intended to meet the requirements of Section 423 of the Code and that varies from the terms and conditions of the ESPP.</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Initially, 539,582 shares of our common stock are reserved for issuance under the ESPP. The number of shares of our common stock that will be reserved for issuance under the ESPP will automatically increase on January 1 of each year, beginning on January 1, 2027 and continuing through January 1, 2036, in an amount equal to the lesser of (i) 1% of the total number of shares of our capital stock outstanding on December 31 of the immediately preceding year and (ii) 1,079,164 shares of our common stock, unless our board of directors acts prior to the first day of any calendar year to provide that there will be no January 1 increase in the share reserve for such calendar year or that the increase for such calendar year will be a lesser number of shares of our common stock.</w:t>
      </w:r>
    </w:p>
    <w:p>
      <w:pPr>
        <w:spacing w:after="0" w:line="18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 Our board of directors, or a duly authorized committee of our board of directors, will administer the ESPP. Our board of directors, or a duly authorized committee of our board of directors, may, in accordance with the terms of the ESPP, delegate administrative authority to our officers or other individuals or groups. Under the ESPP, the ESPP administrator will have discretionary authority to administer and interpret the ESPP and determine the terms and conditions of the offerings of common stock to be made under the ESPP. Interpretations and constructions of the ESPP administrator of any provision of the ESPP or of any rights thereunder will be conclusive and binding on all persons.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Employees eligible to participate in the ESPP for a given offering generally include employees who are employed by us or one of our designated subsidiaries, other than (i) any employees whose customary employment is 20 hours or less per week, unless otherwise determined by the ESPP administrator, and (ii) any employees who do not meet any other eligibility requirements that the ESPP administrator may impose (within the limits permitted by the Code).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Employees will enroll under the ESPP by completing an enrollment form permitting the deduction from their compensation of a whole percentage of their compensation during an offering, subject to a minimum of 1% and a maximum of 15%,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However, an employee will not be permitted to participate in an offering if, immediately after the option to purchase stock in the offering were granted, the employee would own (or be deemed to own through attribution) 5% or more of the total combined voting power or value of all classes of our stock, or one of our subsidiaries or our parent company. In addition, a participant may not purchase more than a number of shares of our common stock equal to $25,000 divided by the fair market value of a share of such stock as of the first day of the offering (or such other maximum number of shares of our common stock established by the ESPP administrator in advance of the offering). A participant may not be granted an option that permits the participant’s rights to purchase shares of common stock to accrue at a rate exceeding $25,000 in fair market value of such stock (determined at the time the option is granted) under the ESPP or any other of our employee stock purchase plans and our parent and subsidiary companies during any calendar year.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0" w:name="page231"/>
    <w:bookmarkEnd w:id="230"/>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Under the ESPP, participants are given the option to purchase shares of our common stock during offerings, the duration and timing of which will be determined by the ESPP administrator. However, in no event may an offering be longer than 27 months in length. The ESPP administrator may provide for concurrent or overlapping offerings under the ESPP. An offering under the ESPP may be terminated under certain circumstances.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Common stock will be purchased for the accounts of participants at a price per share determined under the terms of the applicable offering, which will generally be at a discount from the trading price of our common stock on the date of purchase. The option price for an offering will generally be the lower of 85% of the closing trading price per share of our common stock on the first day of the offering or 85% of the closing trading price per share on the purchase date, unless the ESPP administrator specifies a lesser discount in advance of the offering.</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Unless a participant has withdrawn from participation in the ESPP before a purchase date, the participant will be deemed to have exercised the participant’s option in full as of such purchase date. Upon exercise, the participant will purchase the number of whole shares that the participant’s accumulated payroll deductions will buy at the option price, subject to the participation limitations listed above.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p>
    <w:p>
      <w:pPr>
        <w:spacing w:after="0" w:line="183"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 participant may not transfer any rights under the ESPP other than by will or the laws of descent and distribution. During a participant’s lifetime, options in the ESPP shall be exercisable only by such participant. The ESPP is unfunded, and all funds received by us under the ESPP may be combined with other corporate funds and used for any corporate purpose, unless otherwise required by applicable law.</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stock split, reverse stock split, stock dividend, recapitalization, combination or exchange of shares, reclassification of shares, spin-off, or other similar change in capitalization or event, or any dividend or distribution to holders of our common stock other than an ordinary cash dividend, we will proportionately adjust the number and class of shares approved under the ESPP, the option price for an offering and the maximum number of shares which a participant may elect to purchase in any single offering.</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 corporate transaction (as defined above with respect to the 2026 Plan), the ESPP administrator may take any of the following actions, or do any combination thereof: (i) determine that each outstanding option will be assumed or an equivalent option substituted by the acquiring or successor corporation or other entity (or an affiliate thereof); (ii) upon written notice to participants, provide that participants’ accumulated payroll deductions will be used to purchase shares of our common stock on a date determined by the ESPP administrator within ten days prior to the corporate transaction and that all outstanding options will terminate immediately after such purchase; (iii) upon written notice to participants, provide that all outstanding options will be cancelled and accumulated payroll deductions will be returned to participants; (iv) if the applicable corporate transaction provides for cash payments to the holders of our common stock, provide for cash payments to participants in amounts based on the per-share amount of such cash payments to the stockholders; or (v) if we are liquidated or dissolved, provide that options to purchase stock under the ESPP will convert into the right to receive the liquidation proceeds (net of the option price).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 The ESPP administrator may amend, suspend or terminate the ESPP at any time. However, if the terms of the ESPP are amended to increase the number of shares approved for the ESPP or in a manner that would require stockholder approval under the rules of Nasdaq, other relevant listing authority or to qualify as an “employee stock purchase plan” under Section 423(b) of the Code, the ESPP administrator may not amend the ESPP without obtaining stockholder approval within 12 months before or after the date such amendment is adopted. The ESPP automatically terminates on the ten-year anniversary of the date ESPP was approved by the Company’s stockholders.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filed a registration statement on Form S-8 to register all of the shares of our common stock reserved for issuance under the ESPP.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a clawback policy, or the Clawback Policy, in compliance with the SEC’s and Nasdaq’s final rules. The Clawback Policy requires the repayment of certain erroneously awarded incentive-based compensation paid to any current or former executive officer, including our named executive officers, in connection with a restatement of financial statements if such compensation exceeds the amount that the executive officers would have received based on the restated financial statements. The Clawback Policy is filed as Exhibit 97 to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Grants of Equity Awards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Item 402(x) of Regulation S-K under the Securities Act, we are providing information regarding our procedures related to the grant of certain equity awards close in time to the release of material non-public information, or MNPI. Although we do not have a formal policy, program or plan that requires us to award equity or equity-based compensation on specific dates, we generally expect our Compensation Committee to approve and grant equity awards to our executive officers annually.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were a private company during the year ended December 31, 2025 and therefore no options were granted to our named executive officers within four business days prior to, or one business day following, the filing or furnishing of a periodic or current report by us that disclosed MNPI.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the DGCL, we will indemnify any officer or director of our company against all monetary damages for breach of fiduciary duty as a director or an officer, as applicable. Amending these provisions will not adversely affect any right or protection of a director or an officer existing at the time of, or increase the liability of any director or officer with respect to any acts or omissions of such director or officer occurring prior to the amendment. 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spacing w:after="0" w:line="1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Certificate of Incorporation provisions and indemnification agreements are necessary to attract and retain qualified persons as directors and officers. We also maintain customary directors’ and officers’ liability insurance.</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3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August 4, 2026, subject to early termination and subject to certain limited exceptions, the sale of any shares under such Rule 10b5-1 plan would be subject to the lock-up agreement that the director or executive officer has entered into with the underwriters in connection with our initial public offering.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comprised of Robert Huffines, David Meline, and Leon Chen, Ph.D., with Robert Huffines serving as Chair of the Compensation Committee. None of the members of the Compensation Committee has at any time been one of our officers or employees. None of our executive officers currently serve, or in the past fiscal year has served, as a member of the board of directors or the compensation committee of any entity that has one or more executive officers on our board of directors or the Compensation Committee.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the year ended December 31, 2025. Other than as set forth in the table and described more fully below, we did not pay any compensation, or grant any equity awards or non-equity awards, to any of the non-employee members of our board of directors in 2025. Dr. Perlmutter, our Chief Executive Officer, also served on our board of directors during the year ended December 31, 2025, but did not receive any additional compensation for his service as a director. See the section of this Annual Report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more information regarding the compensation earned by Dr. Perlmutter.</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reasonable out-of-pocket expenses incurred in attending board of directors and committee meetings. Prior to our initial public offering certain of our directors were party to agreements governing the terms of their service as directors and their compensation. Each of these agreements have been terminated.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our non-employee directors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6"/>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22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75"/>
        </w:trPr>
        <w:tc>
          <w:tcPr>
            <w:tcW w:w="60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Dror Berman</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Leon Chen, Ph.D.</w:t>
            </w:r>
          </w:p>
        </w:tc>
        <w:tc>
          <w:tcPr>
            <w:tcW w:w="220" w:type="dxa"/>
            <w:vAlign w:val="bottom"/>
          </w:tcPr>
          <w:p>
            <w:pPr>
              <w:spacing w:after="0"/>
              <w:rPr>
                <w:sz w:val="18"/>
                <w:szCs w:val="18"/>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Kenneth C. Frazier</w:t>
            </w:r>
            <w:r>
              <w:rPr>
                <w:rFonts w:ascii="Times New Roman" w:cs="Times New Roman" w:eastAsia="Times New Roman" w:hAnsi="Times New Roman"/>
                <w:sz w:val="24"/>
                <w:szCs w:val="24"/>
                <w:color w:val="auto"/>
                <w:vertAlign w:val="superscript"/>
              </w:rPr>
              <w:t>(3)</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Robert Huffines</w:t>
            </w:r>
            <w:r>
              <w:rPr>
                <w:rFonts w:ascii="Times New Roman" w:cs="Times New Roman" w:eastAsia="Times New Roman" w:hAnsi="Times New Roman"/>
                <w:sz w:val="24"/>
                <w:szCs w:val="24"/>
                <w:color w:val="auto"/>
                <w:vertAlign w:val="superscript"/>
              </w:rPr>
              <w:t>(4)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Robin Washington</w:t>
            </w:r>
            <w:r>
              <w:rPr>
                <w:rFonts w:ascii="Times New Roman" w:cs="Times New Roman" w:eastAsia="Times New Roman" w:hAnsi="Times New Roman"/>
                <w:sz w:val="24"/>
                <w:szCs w:val="24"/>
                <w:color w:val="auto"/>
                <w:vertAlign w:val="superscript"/>
              </w:rPr>
              <w:t>(5)</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James Tananbaum, M.D.</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Meline</w:t>
            </w:r>
            <w:r>
              <w:rPr>
                <w:rFonts w:ascii="Times New Roman" w:cs="Times New Roman" w:eastAsia="Times New Roman" w:hAnsi="Times New Roman"/>
                <w:sz w:val="24"/>
                <w:szCs w:val="24"/>
                <w:color w:val="auto"/>
                <w:vertAlign w:val="superscript"/>
              </w:rPr>
              <w:t>(7)</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1,228,221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Joshua Wolfe</w:t>
            </w:r>
          </w:p>
        </w:tc>
        <w:tc>
          <w:tcPr>
            <w:tcW w:w="220" w:type="dxa"/>
            <w:vAlign w:val="bottom"/>
          </w:tcPr>
          <w:p>
            <w:pPr>
              <w:spacing w:after="0"/>
              <w:rPr>
                <w:sz w:val="20"/>
                <w:szCs w:val="20"/>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9030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2" w:lineRule="exact"/>
        <w:rPr>
          <w:sz w:val="20"/>
          <w:szCs w:val="20"/>
          <w:color w:val="auto"/>
        </w:rPr>
      </w:pPr>
    </w:p>
    <w:p>
      <w:pPr>
        <w:ind w:left="520" w:right="16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represent the aggregate grant date fair value of the stock options awarded to our non-employee directors during fiscal year 2025, calculated in accordance with Financial Accounting Standards Board, or FASB, Accounting Standards Codification, or ASC, Topic 718. The amounts reported in the Option Awards column for 2025 also include the incremental fair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associated with the modification in 2025 of the exercise prices of options granted to our non-employee directors in prior years in connection with our option repricing in May 2025, computed in accordance with FASB ASC Topic 718 as follows: $67,996 for Mr. Frazier, $70,929 for Mr. Huffines, and $69,318 for Ms. Washington. The assumptions used in calculating the grant date fair value of the awards reported in this column are set forth in Note 2 to our audited financial statements included elsewhere in this Annual Report.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spacing w:after="0" w:line="79"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Berman resigned from the board of directors effective as of January 24,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Frazier held options to purchase an aggregate of 83,803 shares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Huffines held options to purchase an aggregate of 67,043 shares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Washington resigned from the board of directors effective as of March 31,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Tananbaum resigned from the board of directors effective as of January 24,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Meline held options to purchase an aggregate of 67,043 shares of our common stock.</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March 17, 2026, for:</w:t>
      </w:r>
    </w:p>
    <w:p>
      <w:pPr>
        <w:spacing w:after="0" w:line="117"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outstanding shares common stock.</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54,138,555 shares of our common stock outstanding as of March 17, 2026. We have determined beneficial ownership in accordance with the rules of the SEC, which generally means that a person has beneficial ownership of a security if he or she possesses sole or shared voting or investment power of that security, including options or warrants that are currently exercisable or are exercisable within 60 days of March 17, 2026.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Eikon Therapeutics, Inc., 230 Harriet Tubman Way, Millbrae, California 94030.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vMerge w:val="restart"/>
          </w:tcPr>
          <w:p>
            <w:pPr>
              <w:spacing w:after="0"/>
              <w:rPr>
                <w:sz w:val="15"/>
                <w:szCs w:val="15"/>
                <w:color w:val="auto"/>
              </w:rPr>
            </w:pPr>
          </w:p>
        </w:tc>
        <w:tc>
          <w:tcPr>
            <w:tcW w:w="338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5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5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and Greater Stockholders: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Lux</w:t>
            </w:r>
            <w:r>
              <w:rPr>
                <w:rFonts w:ascii="Times New Roman" w:cs="Times New Roman" w:eastAsia="Times New Roman" w:hAnsi="Times New Roman"/>
                <w:sz w:val="24"/>
                <w:szCs w:val="24"/>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5,972,786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Foresite Capital</w:t>
            </w:r>
            <w:r>
              <w:rPr>
                <w:rFonts w:ascii="Times New Roman" w:cs="Times New Roman" w:eastAsia="Times New Roman" w:hAnsi="Times New Roman"/>
                <w:sz w:val="24"/>
                <w:szCs w:val="24"/>
                <w:color w:val="auto"/>
                <w:vertAlign w:val="superscript"/>
              </w:rPr>
              <w:t>(2)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4,148,519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The Column Group</w:t>
            </w:r>
            <w:r>
              <w:rPr>
                <w:rFonts w:ascii="Times New Roman" w:cs="Times New Roman" w:eastAsia="Times New Roman" w:hAnsi="Times New Roman"/>
                <w:sz w:val="24"/>
                <w:szCs w:val="24"/>
                <w:color w:val="auto"/>
                <w:vertAlign w:val="superscript"/>
              </w:rPr>
              <w:t>(3)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6,353,712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Innovation Endeavors</w:t>
            </w:r>
            <w:r>
              <w:rPr>
                <w:rFonts w:ascii="Times New Roman" w:cs="Times New Roman" w:eastAsia="Times New Roman" w:hAnsi="Times New Roman"/>
                <w:sz w:val="24"/>
                <w:szCs w:val="24"/>
                <w:color w:val="auto"/>
                <w:vertAlign w:val="superscript"/>
              </w:rPr>
              <w:t>(4)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3,369,519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ADIA</w:t>
            </w:r>
            <w:r>
              <w:rPr>
                <w:rFonts w:ascii="Times New Roman" w:cs="Times New Roman" w:eastAsia="Times New Roman" w:hAnsi="Times New Roman"/>
                <w:sz w:val="24"/>
                <w:szCs w:val="24"/>
                <w:color w:val="auto"/>
                <w:vertAlign w:val="superscript"/>
              </w:rPr>
              <w:t>(5)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2,816,714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Roger M. Perlmutter M.D., Ph.D</w:t>
            </w:r>
            <w:r>
              <w:rPr>
                <w:rFonts w:ascii="Times New Roman" w:cs="Times New Roman" w:eastAsia="Times New Roman" w:hAnsi="Times New Roman"/>
                <w:sz w:val="24"/>
                <w:szCs w:val="24"/>
                <w:color w:val="auto"/>
                <w:vertAlign w:val="superscript"/>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2,893,171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Roy Baynes, M.D., Ph.D</w:t>
            </w:r>
            <w:r>
              <w:rPr>
                <w:rFonts w:ascii="Times New Roman" w:cs="Times New Roman" w:eastAsia="Times New Roman" w:hAnsi="Times New Roman"/>
                <w:sz w:val="24"/>
                <w:szCs w:val="24"/>
                <w:color w:val="auto"/>
                <w:vertAlign w:val="superscript"/>
              </w:rPr>
              <w:t>(7)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192,414</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Michael Klobuchar</w:t>
            </w:r>
            <w:r>
              <w:rPr>
                <w:rFonts w:ascii="Times New Roman" w:cs="Times New Roman" w:eastAsia="Times New Roman" w:hAnsi="Times New Roman"/>
                <w:sz w:val="24"/>
                <w:szCs w:val="24"/>
                <w:color w:val="auto"/>
                <w:vertAlign w:val="superscript"/>
              </w:rPr>
              <w:t>(8)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Leon Chen, Ph.D.</w:t>
            </w:r>
            <w:r>
              <w:rPr>
                <w:rFonts w:ascii="Times New Roman" w:cs="Times New Roman" w:eastAsia="Times New Roman" w:hAnsi="Times New Roman"/>
                <w:sz w:val="24"/>
                <w:szCs w:val="24"/>
                <w:color w:val="auto"/>
                <w:vertAlign w:val="superscript"/>
              </w:rPr>
              <w:t>(9)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Kenneth C. Frazier</w:t>
            </w:r>
            <w:r>
              <w:rPr>
                <w:rFonts w:ascii="Times New Roman" w:cs="Times New Roman" w:eastAsia="Times New Roman" w:hAnsi="Times New Roman"/>
                <w:sz w:val="24"/>
                <w:szCs w:val="24"/>
                <w:color w:val="auto"/>
                <w:vertAlign w:val="superscript"/>
              </w:rPr>
              <w:t>(10)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Robert Huffines</w:t>
            </w:r>
            <w:r>
              <w:rPr>
                <w:rFonts w:ascii="Times New Roman" w:cs="Times New Roman" w:eastAsia="Times New Roman" w:hAnsi="Times New Roman"/>
                <w:sz w:val="24"/>
                <w:szCs w:val="24"/>
                <w:color w:val="auto"/>
                <w:vertAlign w:val="superscript"/>
              </w:rPr>
              <w:t>(11)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41,583</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David Meline</w:t>
            </w:r>
            <w:r>
              <w:rPr>
                <w:rFonts w:ascii="Times New Roman" w:cs="Times New Roman" w:eastAsia="Times New Roman" w:hAnsi="Times New Roman"/>
                <w:sz w:val="24"/>
                <w:szCs w:val="24"/>
                <w:color w:val="auto"/>
                <w:vertAlign w:val="superscript"/>
              </w:rPr>
              <w:t>(12)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Joshua Wolfe</w:t>
            </w:r>
            <w:r>
              <w:rPr>
                <w:rFonts w:ascii="Times New Roman" w:cs="Times New Roman" w:eastAsia="Times New Roman" w:hAnsi="Times New Roman"/>
                <w:sz w:val="24"/>
                <w:szCs w:val="24"/>
                <w:color w:val="auto"/>
                <w:vertAlign w:val="superscript"/>
              </w:rPr>
              <w:t>(13)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5,972,786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4"/>
                <w:szCs w:val="24"/>
                <w:color w:val="auto"/>
                <w:vertAlign w:val="superscript"/>
              </w:rPr>
              <w:t>(14)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9,738,248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9030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117" w:lineRule="exact"/>
        <w:rPr>
          <w:sz w:val="20"/>
          <w:szCs w:val="20"/>
          <w:color w:val="auto"/>
        </w:rPr>
      </w:pPr>
    </w:p>
    <w:p>
      <w:pPr>
        <w:ind w:left="520" w:right="16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1,290,428 shares of common stock held by Lux Co-Invest Opportunities II, L.P., or LCIO II, (ii) 2,294,653 shares of common stock held by Lux Total Opportunities, LP, or LTOP, and (iii) 2,387,705 shares of common stock held by Lux Ventures V, L.P., or LVV.</w:t>
      </w:r>
    </w:p>
    <w:p>
      <w:pPr>
        <w:spacing w:after="0" w:line="53" w:lineRule="exact"/>
        <w:rPr>
          <w:rFonts w:ascii="Times New Roman" w:cs="Times New Roman" w:eastAsia="Times New Roman" w:hAnsi="Times New Roman"/>
          <w:sz w:val="18"/>
          <w:szCs w:val="18"/>
          <w:color w:val="auto"/>
        </w:rPr>
      </w:pPr>
    </w:p>
    <w:p>
      <w:pPr>
        <w:ind w:left="52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 Co-Invest Partners II, LLC, or LCIP II, is the general partner of LCIO II and exercises voting and dispositive power over the shares owned by LCIO II. Lux Total Opportunities Partners, LLC, or LTOP, is the general partner of LTO and exercises voting and dispositive power over the shares owned by LTO. Lux Venture Partners V, LLC, or LVPV, is the general partner of LVV and exercises voting and dispositive power over the shares owned by LVV. Peter Hébert and Joshua Wolfe, a member of our board of directors, are the individual managing members of LCIP II, LTOP, and LVPV and may be deemed to share voting and dispositive power for the shares directly held by LCIO II, LTO, and LVV. Each of LCIP II, LTOP, LVPV, Mr. Hébert and Mr. Wolfe disclaims beneficial ownership of the shares noted herein except to the extent of their respective pecuniary interests therein. The principal business address of the foregoing entities and individuals is c/o Lux Capital Management, LLC, 920 Broadway, 11th Floor, New York, NY 10010. The information herein is based solely on the Form 4 filed by the entities affiliated with Lux Capital, Mr. Hébert, and Mr. Wolfe on February 6, 2026.</w:t>
      </w:r>
    </w:p>
    <w:p>
      <w:pPr>
        <w:spacing w:after="0" w:line="80" w:lineRule="exact"/>
        <w:rPr>
          <w:rFonts w:ascii="Times New Roman" w:cs="Times New Roman" w:eastAsia="Times New Roman" w:hAnsi="Times New Roman"/>
          <w:sz w:val="18"/>
          <w:szCs w:val="18"/>
          <w:color w:val="auto"/>
        </w:rPr>
      </w:pPr>
    </w:p>
    <w:p>
      <w:pPr>
        <w:ind w:left="520" w:right="40" w:hanging="512"/>
        <w:spacing w:after="0" w:line="258"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1,943,682 shares of common stock and (b) warrants to purchase 17,092 shares of common stock, exercisable within 60 days of March 17, 2026, held by Foresite Capital Fund IV, L.P., or Fund IV, (ii) (a) 1,318,983 shares of common stock and (b) warrants to purchase 34,185 shares of common stock, exercisable within 60 days of March 17, 2026, held by Foresite Capital Fund V, L.P., or Fund V, (iii) (a) 425,852 shares of common stock held by Foresite Capital Opportunity Fund V, L.P., or Opportunity Fund V, and (iv) 408,725 shares of common stock held by Foresite Capital VI-A, LLC, or Fund VI-A.</w:t>
      </w:r>
    </w:p>
    <w:p>
      <w:pPr>
        <w:spacing w:after="0" w:line="75"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Foresite Capital Management IV, LLC, or FCM IV, is the general partner of Fund IV and may be deemed to have sole voting and dispositive power over the securities held by Fund IV. Foresite Capital Management V, LLC, or FCM V, is the general partner of Fund V and may be deemed to have sole voting and dispositive power over the securities held by Fund V. Foresite Capital Opportunity Management V, LLC, or FCOM V, is the general partner of Opportunity Fund V and may be deemed to have sole voting and dispositive power over the shares held by Opportunity Fund V. James B. Tananbaum, M.D. is the managing member of FCM IV, FCM V, and FCOM V and may be deemed to have sole voting and dispositive power over the securities held by Fund IV, Fund V, and Opportunity Fund V, respectively. Each of Fund IV, Fund V, Opportunity Fund V, and Dr. Tananbaum disclaims beneficial ownership of the securities noted herein except to the extent of their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86" w:lineRule="exact"/>
        <w:rPr>
          <w:sz w:val="20"/>
          <w:szCs w:val="20"/>
          <w:color w:val="auto"/>
        </w:rPr>
      </w:pPr>
    </w:p>
    <w:p>
      <w:pPr>
        <w:jc w:val="both"/>
        <w:ind w:left="512" w:right="140"/>
        <w:spacing w:after="0" w:line="272" w:lineRule="auto"/>
        <w:rPr>
          <w:sz w:val="20"/>
          <w:szCs w:val="20"/>
          <w:color w:val="auto"/>
        </w:rPr>
      </w:pPr>
      <w:r>
        <w:rPr>
          <w:rFonts w:ascii="Times New Roman" w:cs="Times New Roman" w:eastAsia="Times New Roman" w:hAnsi="Times New Roman"/>
          <w:sz w:val="17"/>
          <w:szCs w:val="17"/>
          <w:color w:val="auto"/>
        </w:rPr>
        <w:t>respective pecuniary interests therein. Foresite Capital VI-A Management, LLC, or FC VI-A Management, is the managing member of Fund VI-A and may be deemed to have sole voting and dispositive power over the shares held by Fund VI-A. Dr. Tananbaum is the managing member of FC VI-A Management and may be deemed to have sole voting and dispositive power over the shares held by Fund VI-A. Each of Fund VI-A and Dr.</w:t>
      </w:r>
    </w:p>
    <w:p>
      <w:pPr>
        <w:spacing w:after="0" w:line="2" w:lineRule="exact"/>
        <w:rPr>
          <w:sz w:val="20"/>
          <w:szCs w:val="20"/>
          <w:color w:val="auto"/>
        </w:rPr>
      </w:pPr>
    </w:p>
    <w:p>
      <w:pPr>
        <w:ind w:left="512" w:right="40"/>
        <w:spacing w:after="0" w:line="255" w:lineRule="auto"/>
        <w:rPr>
          <w:sz w:val="20"/>
          <w:szCs w:val="20"/>
          <w:color w:val="auto"/>
        </w:rPr>
      </w:pPr>
      <w:r>
        <w:rPr>
          <w:rFonts w:ascii="Times New Roman" w:cs="Times New Roman" w:eastAsia="Times New Roman" w:hAnsi="Times New Roman"/>
          <w:sz w:val="18"/>
          <w:szCs w:val="18"/>
          <w:color w:val="auto"/>
        </w:rPr>
        <w:t>Tananbaum disclaims beneficial ownership of these shares except to the extent of their respective pecuniary interests therein. The principal business address of the foregoing entities and individuals is 900 Larkspur Landing Circle, Suite 150, Larkspur, CA 94939. The information herein is based solely on the Schedule 13G filed by the entities affiliated with Foresite Capital and Dr. Tananbaum on February 11, 2026.</w:t>
      </w:r>
    </w:p>
    <w:p>
      <w:pPr>
        <w:spacing w:after="0" w:line="78" w:lineRule="exact"/>
        <w:rPr>
          <w:sz w:val="20"/>
          <w:szCs w:val="20"/>
          <w:color w:val="auto"/>
        </w:rPr>
      </w:pPr>
    </w:p>
    <w:p>
      <w:pPr>
        <w:ind w:left="512" w:right="120" w:hanging="512"/>
        <w:spacing w:after="0" w:line="266" w:lineRule="auto"/>
        <w:tabs>
          <w:tab w:leader="none" w:pos="5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4,312,139 shares of common stock held by The Column Group IV, LP, or TCG IV LP, (ii) 148,840 shares of common stock held by The Column Group IV-A, LP, or TCG IV-A LP, and (iii) (a) 1,319,164 shares of common stock and (b) warrants to purchase 573,569 shares of common stock, exercisable within 60 days of March 17, 2026, held by The Column Group Opportunity III, LP, or TCG Opportunity III LP.</w:t>
      </w:r>
    </w:p>
    <w:p>
      <w:pPr>
        <w:spacing w:after="0" w:line="67" w:lineRule="exact"/>
        <w:rPr>
          <w:rFonts w:ascii="Times New Roman" w:cs="Times New Roman" w:eastAsia="Times New Roman" w:hAnsi="Times New Roman"/>
          <w:sz w:val="18"/>
          <w:szCs w:val="18"/>
          <w:color w:val="auto"/>
        </w:rPr>
      </w:pPr>
    </w:p>
    <w:p>
      <w:pPr>
        <w:ind w:left="512" w:right="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IV GP, LP, or TCG IV GP LP, is the general partner of TCG IV LP and may be deemed to have voting and investment power with respect to shares directly held by TCG IV LP. TCG IV GP LP is the general partner of TCG IV-A LP and may be deemed to have voting and investment power with respect to shares directly held by TCG IV-A LP. The Column Group Opportunity III GP, LP, or TCG Opportunity III GP LP, is the general partner of TCG Opportunity III LP. TCG Opportunity III GP, LLC is the general partner of TCG Opportunity III GP LP and the ultimate general partner of TCG Opportunity III LP. Each of TCG Opportunity III GP LP and TCG Opportunity III GP, LLC may be deemed to have voting, investment and dispositive power with respect to securities directly held by TCG Opportunity III LP. Peter Svennilson and Tim Kutzkey, or collectively, the TGC Managing Partners, are the managing partners of TCG IV GP LP and TCG Opportunity III GP, LLC and may each be deemed to share voting, investment and dispositive power with respect to securities directly held by TCG IV LP, TCG IV-A LP, and TCG Opportunity III LP, respectively. Each of TCG IV GP LP, TCG Opportunity III GP LP, TCG Opportunity III GP, LLC, and the TCG Managing Partners disclaims beneficial ownership of the securities noted herein, except to the extent of its or his pecuniary interest therein. Leon Chen, a member of our board of directors, is a partner at The Column Group and has no voting or dispositive power with respect to any of the above referenced securities and disclaims beneficial ownership of such securities except to the extent of his respective pecuniary interest therein. The principal business address of the foregoing entities and individuals is 1 Letterman Drive, Building D, Suite M-900, San Francisco, CA 94129. The information herein is based solely on the Schedule 13D filed by the entities affiliated with The Column Group and the TCG Managing Partners on February 12, 2026.</w:t>
      </w:r>
    </w:p>
    <w:p>
      <w:pPr>
        <w:spacing w:after="0" w:line="87" w:lineRule="exact"/>
        <w:rPr>
          <w:rFonts w:ascii="Times New Roman" w:cs="Times New Roman" w:eastAsia="Times New Roman" w:hAnsi="Times New Roman"/>
          <w:sz w:val="18"/>
          <w:szCs w:val="18"/>
          <w:color w:val="auto"/>
        </w:rPr>
      </w:pPr>
    </w:p>
    <w:p>
      <w:pPr>
        <w:ind w:left="512" w:right="220" w:hanging="512"/>
        <w:spacing w:after="0" w:line="266" w:lineRule="auto"/>
        <w:tabs>
          <w:tab w:leader="none" w:pos="5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147,819 shares of common stock held by Innovation Endeavors ET SPV LP, or IE ET SPV LP, (ii) 2,723,226 shares of common stock held by Innovation Endeavors III LP, or IE III LP, and (iii) 498,474 shares of common stock held by Innovation Endeavors IV LP, or IE IV LP.</w:t>
      </w:r>
    </w:p>
    <w:p>
      <w:pPr>
        <w:spacing w:after="0" w:line="67" w:lineRule="exact"/>
        <w:rPr>
          <w:rFonts w:ascii="Times New Roman" w:cs="Times New Roman" w:eastAsia="Times New Roman" w:hAnsi="Times New Roman"/>
          <w:sz w:val="18"/>
          <w:szCs w:val="18"/>
          <w:color w:val="auto"/>
        </w:rPr>
      </w:pPr>
    </w:p>
    <w:p>
      <w:pPr>
        <w:ind w:left="51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Endeavors ET SPV GP LLC, or IE ET SPV GP LLC, is the general partner of IE ET SPV LP and may be deemed to have voting and dispositive power over the shares held by IE ET SPV LP. Innovation Endeavors III GP, LLC, or IE III GP LLC, is the general partner of IE III LP and may be deemed to have voting and dispositive power over the shares held by IE III LP. Innovation Endeavors IV GP, LLC, or IE IV GP LLC, is the general partner of IE IV LP and may be deemed to have voting and dispositive power over the shares held by IE IV LP. Voting and dispositive decisions with respect to the shares held by IE ET SPV LP and IE IV LP are made collectively by the managing members of IE ET SPV GP LLC and IE IV GP LLC: Dror Berman, Harpinder Singh, and Scott Brady. Voting and dispositive decisions with respect to the shares held by IE III LP are made collectively by the managing members of IE III GP LLC: Dror Berman, Scott Brady, and Rick Scanlon. The principal business address of the foregoing entities is 1845 El Camino Real, Palo Alto, CA 94306.</w:t>
      </w:r>
    </w:p>
    <w:p>
      <w:pPr>
        <w:spacing w:after="0" w:line="83"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1,147,138 shares of common stock held by Platinum Falcon B 2018 RSC Limited, or Platinum Falcon and (ii) 1,669,576 shares of common stock held by Abu Dhabi Investment Authority, or ADIA.</w:t>
      </w:r>
    </w:p>
    <w:p>
      <w:pPr>
        <w:spacing w:after="0" w:line="53" w:lineRule="exact"/>
        <w:rPr>
          <w:rFonts w:ascii="Times New Roman" w:cs="Times New Roman" w:eastAsia="Times New Roman" w:hAnsi="Times New Roman"/>
          <w:sz w:val="18"/>
          <w:szCs w:val="18"/>
          <w:color w:val="auto"/>
        </w:rPr>
      </w:pPr>
    </w:p>
    <w:p>
      <w:pPr>
        <w:ind w:left="512"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Falcon is a wholly owned subsidiary of ADIA, and ADIA may be deemed to be the beneficial owner of the shares of common stock directly held by Platinum Falcon. The principal place of business of ADIA is 211 Corniche Street, P.O. Box 3600, Abu Dhabi, United Arab Emirates 3600. The principal place of business of Platinum Falcon is Level 26, Al Khatem Tower, Abu Dhabi Global Market Square, Al Maryah Island, Abu</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36" w:name="page237"/>
    <w:bookmarkEnd w:id="236"/>
    <w:p>
      <w:pPr>
        <w:spacing w:after="0" w:line="86"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Dhabi, United Arab Emirates. The information herein is based solely on the Schedule 13G filed by Platinum Falcon and ADIA on February 18, 2026.</w:t>
      </w:r>
    </w:p>
    <w:p>
      <w:pPr>
        <w:spacing w:after="0" w:line="54" w:lineRule="exact"/>
        <w:rPr>
          <w:sz w:val="20"/>
          <w:szCs w:val="20"/>
          <w:color w:val="auto"/>
        </w:rPr>
      </w:pPr>
    </w:p>
    <w:p>
      <w:pPr>
        <w:ind w:left="52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1,190,999 shares of common stock and (b) options to purchase 1,417,315 shares of common stock, exercisable within 60 days of March 17, 2026, held by Dr. Roger M. Perlmutter, and (ii) 284,857 shares of common stock held by Perlmutter Consulting, Inc. Dr. Perlmutter is the sole shareholder of Perlmutter Consulting, Inc.</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192,414 shares of common stock, exercisable within 60 days of March 17,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70,116 shares of common stock, exercisable within 60 days of March 17,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111,111 shares of common stock and (ii) options to purchase 77,548 shares of common stock, exercisable within 60 days of March 17, 2026.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41,583 shares of common stock, exercisable within 60 days of March 17,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6,983 shares of common stock, exercisable within 60 days of March 17, 2026.</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1. Mr. Wolfe disclaims beneficial ownership of the shares referenced in Note 1, except to the extent of his pecuniary interest therein.</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7,611,325 shares of common stock and (ii) options to purchase 2,126,923 shares of common stock, exercisable within 60 days of March 17,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our equity compensation plans in effect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4"/>
                <w:szCs w:val="24"/>
                <w:color w:val="auto"/>
                <w:vertAlign w:val="superscript"/>
              </w:rPr>
              <w:t>(1)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5,513,142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5,513,142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1,449,522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9" w:lineRule="exact"/>
        <w:rPr>
          <w:sz w:val="20"/>
          <w:szCs w:val="20"/>
          <w:color w:val="auto"/>
        </w:rPr>
      </w:pPr>
    </w:p>
    <w:p>
      <w:pPr>
        <w:ind w:left="520" w:right="180" w:hanging="512"/>
        <w:spacing w:after="0" w:line="261" w:lineRule="auto"/>
        <w:tabs>
          <w:tab w:leader="none" w:pos="3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2019 Plan. The 2026 LTIP and 2026 ESPP became effective on February 6, 2026. Following the effectiveness of the 2026 LTIP, no further grants will be made under the 2019 Plan. Any outstanding awards granted under the 2019 Plan will remain subject to the terms of the 2019 Plan and applicable award agreements. The table above does not include any amounts issuable under either the 2026 LTIP or 2026 ESPP, as they were not in effect as of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2024 and any currently proposed transactions in which we have been a participant in which the amount involved exceeded or will exceed the lesser of $120,000 or 1% of the average of our total assets as of each of December 31, 2025 and 2024, and in which any of our then directors, executive officers or holders of more than 5% of any class of our capital stock at the time of such transaction, or any members of their immediate family, had or will have a direct or indirect material interest,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compensation arrangements which are described in the section of this Annual Report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Initial Public Offering</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In February 2026, Kenneth C. Frazier, a member of our board of directors, as well as certain beneficial owners of more than 5% of our capital stock and their affiliates participated in our initial public offering. Lux Capital, Foresite Capital, The Column Group, Innovation Endeavors, Catalyst4, Inc., and Mr. Frazier purchased approximately $5.0 million, $1.0 million, $38.1 million, $5.0 million, $16.0 million, and $2.0 million, respectively, of shares of our common stock in our initial public offering at the initial public offering price of $18.00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Preferred Stock Financing</w:t>
      </w:r>
    </w:p>
    <w:p>
      <w:pPr>
        <w:spacing w:after="0" w:line="12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On February 14, 2025, we entered into the Series D Preferred Stock Purchase Agreement with a number of investors named therein. In multiple closings held in February 2025, we issued and sold an aggregate of 60,005,669 shares of our Series D redeemable convertible preferred stock at a purchase price of $5.84 per share for an aggregate purchase price of approximately $350.7 million, which we refer to as the Series D Preferred Stock Financing.</w:t>
      </w:r>
    </w:p>
    <w:p>
      <w:pPr>
        <w:spacing w:after="0" w:line="15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Series D redeemable convertible preferred stock purchased by our directors, executive officers, or holders of more than 5% of our capital stock as of the date of the applicable closing, and entities affiliated with certain of our executive officers and directors. The Series D redeemable convertible preferred stock converted into an aggregate of 8,046,030 shares of common stock immediately prior to the completion of our initial public offering, after giving effect to the applicable conversion ratio.</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Column Group Opportunity III, LP</w:t>
            </w:r>
          </w:p>
        </w:tc>
        <w:tc>
          <w:tcPr>
            <w:tcW w:w="12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5,133,076</w:t>
            </w:r>
          </w:p>
        </w:tc>
        <w:tc>
          <w:tcPr>
            <w:tcW w:w="20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29,999,998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Lux Total Opportunities, L.P.</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10,266,152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59,999,996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Foresite Capital</w:t>
            </w:r>
            <w:r>
              <w:rPr>
                <w:rFonts w:ascii="Times New Roman" w:cs="Times New Roman" w:eastAsia="Times New Roman" w:hAnsi="Times New Roman"/>
                <w:sz w:val="9"/>
                <w:szCs w:val="9"/>
                <w:color w:val="auto"/>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5,133,076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29,999,998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Perlmutter Consulting, Inc.</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855,512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520" w:right="100" w:hanging="512"/>
        <w:spacing w:after="0" w:line="284" w:lineRule="auto"/>
        <w:tabs>
          <w:tab w:leader="none" w:pos="52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details regarding certain of these stockholders and their equity holdings are included in the section of this Annual Report titled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p>
    <w:p>
      <w:pPr>
        <w:spacing w:after="0" w:line="52" w:lineRule="exact"/>
        <w:rPr>
          <w:rFonts w:ascii="Times New Roman" w:cs="Times New Roman" w:eastAsia="Times New Roman" w:hAnsi="Times New Roman"/>
          <w:sz w:val="18"/>
          <w:szCs w:val="18"/>
          <w:color w:val="231F20"/>
        </w:rPr>
      </w:pPr>
    </w:p>
    <w:p>
      <w:pPr>
        <w:ind w:left="520" w:hanging="512"/>
        <w:spacing w:after="0" w:line="282" w:lineRule="auto"/>
        <w:tabs>
          <w:tab w:leader="none" w:pos="52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1,711,025 shares of Series D redeemable convertible preferred stock held by Foresite Capital Fund IV, L.P., and (ii) 3,422,051 shares of Series D redeemable convertible preferred stock held by Foresite Capital Fund V, 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Exchange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14, 2025, in connection with the initial issuance and sale of our Series D redeemable convertible preferred stock, we entered into Exchange Agreements with, among others, the holders of more than 5% of our outstanding capital stock listed in the table in the subsection titled “</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 Preferred Stock Financing</w:t>
      </w:r>
      <w:r>
        <w:rPr>
          <w:rFonts w:ascii="Times New Roman" w:cs="Times New Roman" w:eastAsia="Times New Roman" w:hAnsi="Times New Roman"/>
          <w:sz w:val="18"/>
          <w:szCs w:val="18"/>
          <w:color w:val="auto"/>
        </w:rPr>
        <w:t>” above. In multiple closings held in February 2025, we issued (i) an aggregate of 35,756,908 shares of our Series B-1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redeemable convertible preferred stock as a result of the cancellation of an aggregate of 11,814,375 shares of our Series B redeemable convertible preferred stock, and (ii) an aggregate of 4,975,110 shares of our Series C-1 redeemable convertible preferred stock as a result of the cancellation of an aggregate of 1,352,470 shares of our Series C redeemable convertible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Series B-1 redeemable convertible preferred stock acquired by our directors, executive officers, or holders of more than 5% of our capital stock as of the date of the applicable closing, and entities affiliated with certain of our executive officers and directors. The Series B-1 redeemable convertible preferred stock converted into an aggregate of 4,794,565 shares of common stock immediately prior to the completion of our initial public offering, after giving effect to the applicable conversion ratio.</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B-1</w:t>
            </w:r>
          </w:p>
        </w:tc>
        <w:tc>
          <w:tcPr>
            <w:tcW w:w="2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Cancelled</w:t>
            </w:r>
          </w:p>
        </w:tc>
        <w:tc>
          <w:tcPr>
            <w:tcW w:w="0" w:type="dxa"/>
            <w:vAlign w:val="bottom"/>
          </w:tcPr>
          <w:p>
            <w:pPr>
              <w:spacing w:after="0"/>
              <w:rPr>
                <w:sz w:val="1"/>
                <w:szCs w:val="1"/>
                <w:color w:val="auto"/>
              </w:rPr>
            </w:pPr>
          </w:p>
        </w:tc>
      </w:tr>
      <w:tr>
        <w:trPr>
          <w:trHeight w:val="173"/>
        </w:trPr>
        <w:tc>
          <w:tcPr>
            <w:tcW w:w="6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Lux</w:t>
            </w:r>
            <w:r>
              <w:rPr>
                <w:rFonts w:ascii="Times New Roman" w:cs="Times New Roman" w:eastAsia="Times New Roman" w:hAnsi="Times New Roman"/>
                <w:sz w:val="9"/>
                <w:szCs w:val="9"/>
                <w:color w:val="auto"/>
              </w:rPr>
              <w:t>(2)</w:t>
            </w:r>
          </w:p>
        </w:tc>
        <w:tc>
          <w:tcPr>
            <w:tcW w:w="1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8,815,537</w:t>
            </w:r>
          </w:p>
        </w:tc>
        <w:tc>
          <w:tcPr>
            <w:tcW w:w="20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2,912,725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Foresite Capital</w:t>
            </w:r>
            <w:r>
              <w:rPr>
                <w:rFonts w:ascii="Times New Roman" w:cs="Times New Roman" w:eastAsia="Times New Roman" w:hAnsi="Times New Roman"/>
                <w:sz w:val="9"/>
                <w:szCs w:val="9"/>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3,895,143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Mahler International Limited</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4,277,561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1,413,341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right="100" w:hanging="512"/>
        <w:spacing w:after="0" w:line="284" w:lineRule="auto"/>
        <w:tabs>
          <w:tab w:leader="none" w:pos="52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details regarding certain of these stockholders and their equity holdings are included in the section of this Annual Report titled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p>
    <w:p>
      <w:pPr>
        <w:spacing w:after="0" w:line="52" w:lineRule="exact"/>
        <w:rPr>
          <w:rFonts w:ascii="Times New Roman" w:cs="Times New Roman" w:eastAsia="Times New Roman" w:hAnsi="Times New Roman"/>
          <w:sz w:val="18"/>
          <w:szCs w:val="18"/>
          <w:color w:val="231F20"/>
        </w:rPr>
      </w:pPr>
    </w:p>
    <w:p>
      <w:pPr>
        <w:ind w:left="520" w:right="720" w:hanging="512"/>
        <w:spacing w:after="0" w:line="282" w:lineRule="auto"/>
        <w:tabs>
          <w:tab w:leader="none" w:pos="52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5,289,322 shares of Series B-1 redeemable convertible preferred stock held by Lux Co-Invest Opportunities II, L.P., and (ii) 3,526,215 shares of Series B-1 redeemable convertible preferred stock held by Lux Total Opportunities, L.P.</w:t>
      </w:r>
    </w:p>
    <w:p>
      <w:pPr>
        <w:spacing w:after="0" w:line="53" w:lineRule="exact"/>
        <w:rPr>
          <w:rFonts w:ascii="Times New Roman" w:cs="Times New Roman" w:eastAsia="Times New Roman" w:hAnsi="Times New Roman"/>
          <w:sz w:val="18"/>
          <w:szCs w:val="18"/>
          <w:color w:val="231F20"/>
        </w:rPr>
      </w:pPr>
    </w:p>
    <w:p>
      <w:pPr>
        <w:ind w:left="520" w:right="160" w:hanging="512"/>
        <w:spacing w:after="0" w:line="261" w:lineRule="auto"/>
        <w:tabs>
          <w:tab w:leader="none" w:pos="52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282,317 shares of Series B-1 redeemable convertible preferred stock held by Foresite Capital Fund IV, L.P., (ii) 282,317 shares of Series B-1 redeemable convertible preferred stock held by Foresite Capital Fund V, L.P., (iii) 282,317 shares of Series B-1 redeemable convertible preferred stock held by Foresite Capital Opportunity Fund V, L.P., and (iv) 3,048,192 shares of Series B-1 redeemable convertible preferred stock held by Foresite Capital VI-A, LLC.</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Series C-1 redeemable convertible preferred stock acquired by our directors, executive officers, or holders of more than 5% of our capital stock as of the date of the applicable closing, and entities affiliated with certain of our executive officers and directors. The Series C-1 redeemable convertible preferred stock converted into an aggregate of 667,102 shares of common stock immediately prior to the completion of our initial public offering, after giving effect to the applicable conversion ratio.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Entities affiliated with The Column Group</w:t>
      </w:r>
      <w:r>
        <w:rPr>
          <w:rFonts w:ascii="Times New Roman" w:cs="Times New Roman" w:eastAsia="Times New Roman" w:hAnsi="Times New Roman"/>
          <w:sz w:val="9"/>
          <w:szCs w:val="9"/>
          <w:color w:val="auto"/>
        </w:rPr>
        <w:t>(2)</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Entities affiliated with Foresite Capital</w:t>
      </w:r>
      <w:r>
        <w:rPr>
          <w:rFonts w:ascii="Times New Roman" w:cs="Times New Roman" w:eastAsia="Times New Roman" w:hAnsi="Times New Roman"/>
          <w:sz w:val="9"/>
          <w:szCs w:val="9"/>
          <w:color w:val="auto"/>
        </w:rPr>
        <w:t>(3)</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Lux Total Opportunities,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46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C-1</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w:t>
            </w:r>
          </w:p>
        </w:tc>
      </w:tr>
      <w:tr>
        <w:trPr>
          <w:trHeight w:val="149"/>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r>
      <w:tr>
        <w:trPr>
          <w:trHeight w:val="173"/>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855,507</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232,567</w:t>
            </w: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213,566</w:t>
            </w: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1,450,614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394,345</w:t>
            </w:r>
          </w:p>
        </w:tc>
      </w:tr>
    </w:tbl>
    <w:p>
      <w:pPr>
        <w:spacing w:after="0" w:line="196" w:lineRule="exact"/>
        <w:rPr>
          <w:sz w:val="20"/>
          <w:szCs w:val="20"/>
          <w:color w:val="auto"/>
        </w:rPr>
      </w:pPr>
    </w:p>
    <w:p>
      <w:pPr>
        <w:sectPr>
          <w:pgSz w:w="11900" w:h="16838" w:orient="portrait"/>
          <w:cols w:equalWidth="0" w:num="2">
            <w:col w:w="6560" w:space="720"/>
            <w:col w:w="3960"/>
          </w:cols>
          <w:pgMar w:left="320" w:top="1440" w:right="339" w:bottom="1440" w:gutter="0" w:footer="0" w:header="0"/>
          <w:type w:val="continuous"/>
        </w:sectPr>
      </w:pPr>
    </w:p>
    <w:p>
      <w:pPr>
        <w:ind w:left="520" w:right="100" w:hanging="512"/>
        <w:spacing w:after="0" w:line="284" w:lineRule="auto"/>
        <w:tabs>
          <w:tab w:leader="none" w:pos="52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details regarding certain of these stockholders and their equity holdings are included in the section of this Annual Report titled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p>
    <w:p>
      <w:pPr>
        <w:spacing w:after="0" w:line="52" w:lineRule="exact"/>
        <w:rPr>
          <w:rFonts w:ascii="Times New Roman" w:cs="Times New Roman" w:eastAsia="Times New Roman" w:hAnsi="Times New Roman"/>
          <w:sz w:val="18"/>
          <w:szCs w:val="18"/>
          <w:color w:val="231F20"/>
        </w:rPr>
      </w:pPr>
    </w:p>
    <w:p>
      <w:pPr>
        <w:ind w:left="520" w:right="120" w:hanging="512"/>
        <w:spacing w:after="0" w:line="282" w:lineRule="auto"/>
        <w:tabs>
          <w:tab w:leader="none" w:pos="52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28,229 shares of Series C-1 redeemable convertible preferred stock held by The Column Group IV-A, LP, and (ii) 827,278 shares of Series C-1 redeemable convertible preferred stock held by The Column Group IV, LP.</w:t>
      </w:r>
    </w:p>
    <w:p>
      <w:pPr>
        <w:spacing w:after="0" w:line="53" w:lineRule="exact"/>
        <w:rPr>
          <w:rFonts w:ascii="Times New Roman" w:cs="Times New Roman" w:eastAsia="Times New Roman" w:hAnsi="Times New Roman"/>
          <w:sz w:val="18"/>
          <w:szCs w:val="18"/>
          <w:color w:val="231F20"/>
        </w:rPr>
      </w:pPr>
    </w:p>
    <w:p>
      <w:pPr>
        <w:ind w:left="520" w:hanging="512"/>
        <w:spacing w:after="0" w:line="282" w:lineRule="auto"/>
        <w:tabs>
          <w:tab w:leader="none" w:pos="52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501,219 shares of Series C-1 redeemable convertible preferred stock held by Foresite Capital Fund V, L.P., and (ii) 284,392 shares of Series C-1 redeemable convertible preferred stock held by Foresite Capital Opportunity Fund V, L.P.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9" w:name="page240"/>
    <w:bookmarkEnd w:id="2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and sale of our Series D redeemable convertible preferred stock, on February 14, 2025, we issued warrants to Foresite Capital Fund IV, L.P., Foresite Capital Fund V, L.P., and The Column Group Opportunity III, LP, and on February 26, 2025, we issued a warrant to Mahler International Limited, for the purchase of up to an aggregate of 739,559 shares of our common stock, at an exercise price of $43.59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December 3, 2021, in connection with the initial issuance and sale of our Series B redeemable convertible preferred stock, we amended and restated the Amended and Restated Investors’ Rights Agreement dated as of May 4, 2021 by and among us and holders of our redeemable convertible preferred stock, including the holders of more than 5% of our outstanding capital stock as of such issuance and sale. The Amended and Restated Investors’ Rights Agreement, as amended and restated on May 17, 2023 in connection with the Series C Preferred Stock Financing and on February 14, 2025 in connection with the Series D Preferred Stock Financing, is referred to herein as the A&amp;R Rights Agreement. Certain holders of more than 5% of our outstanding capital stock are party to the A&amp;R Rights Agreement, including those listed in the table in the subsection titled “</w:t>
      </w:r>
      <w:r>
        <w:rPr>
          <w:rFonts w:ascii="Times New Roman" w:cs="Times New Roman" w:eastAsia="Times New Roman" w:hAnsi="Times New Roman"/>
          <w:sz w:val="18"/>
          <w:szCs w:val="18"/>
          <w:i w:val="1"/>
          <w:iCs w:val="1"/>
          <w:color w:val="auto"/>
        </w:rPr>
        <w:t>—Series D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A&amp;R Rights Agreement grants certain rights to the holders of our outstanding redeemable convertible preferred stock, including certain registration rights with respect to the registrable securities held by them.</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A&amp;R Rights Agreement imposed certain affirmative obligations on us, including, among other things, our obligation to grant certain investors who hold shares of our redeemable convertible preferred stock a right of first offer with respect to future sales of our equity, excluding the shares to be offered and sold in our initial public offering, and grant certain information and inspection rights to such investors. Each of these other obligations terminated in connection with the closing of our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December 3, 2021, in connection with the initial issuance and sale of our Series B redeemable convertible preferred stock, we amended and restated the Amended and Restated Voting Agreement, or the Voting Agreement, dated as of May 4, 2021 by and among us and holders of our redeemable convertible preferred stock, including the holders of more than 5% of our outstanding capital stock as of such issuance and sale. The Amended and Restated Voting Agreement, as amended and restated on May 17, 2023 in connection with the Series C Preferred Stock Financing and on February 14, 2025 in connection with the Series D Preferred Stock Financing, is referred to herein as the A&amp;R Voting Agreement. Certain holders of more than 5% of our outstanding capital stock were party to the A&amp;R Voting Agreement, including those listed in the table in the subsection titled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Financing</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A&amp;R Voting Agreement, the parties thereto agreed to vote their shares as needed to (i) maintain the size of our board of directors at eight members, and (ii) (a) so long as The Column Group owns at least 2,500,000 shares of our Series A redeemable convertible preferred stock, cause The Column Group’s designee, initially Leon Chen, Ph.D., to be elected as a preferred director, (b) so long as Innovation Endeavor owns at least 2,500,000 shares of our Series A redeemable convertible preferred stock, cause Innovation Endeavor’s nominee, initially Dror Berman, to be elected as a preferred director, (c) so long as Lux Total Opportunities, L.P. owns at least 2,500,000 shares of our Series A redeemable convertible preferred stock, cause Lux’s nominee, initially Joshua Wolfe, to be elected as a preferred director, (d) so long as Foresite Capital own at least 2,500,000 shares of our Series A redeemable convertible preferred stock, cause Foresite Capital’s nominee, initially James Tananbaum, M.D., to be elected as a preferred director, (e) cause our Chief Executive Officer, initially Roger M. Perlmutter, M.D., Ph.D., to be elected, and (f) cause up to three individual independent directors, initially Kenneth C. Frazier, Robin L. Washington and Robert Huffines, who were designated by a majority of all other then-serving directors, to be elected. In the event of a Sale of the Company (as defined in the A&amp;R Voting Agreement) that had been approved by our board of directors and holders of a majority of shares of our redeemable convertible preferred stock, which majority must have included at least 30% of the shares of our Series B redeemable convertible preferred stock, Series B-1 redeemable convertible preferred stock, Series C redeemable convertible preferred stock,</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0" w:name="page241"/>
    <w:bookmarkEnd w:id="240"/>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Series C-1 redeemable convertible preferred stock, each party was required to vote in favor of the transaction and/or sell their stock in the transaction, and otherwise execute and deliver all related documentation and refrain from exercising dissenter’s rights or depositing their shares in a voting trust or other arrangement, subject to certain limitations. The rights set forth above terminated in connection with the closing of our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3, 2021, in connection with the initial issuance and sale of our Series B redeemable convertible preferred stock, we amended and restated the Amended and Restated Right of First Refusal and Co-Sale Agreement, or the RoFR Agreement, dated as of May 4, 2021 by and among us and holders of our redeemable convertible preferred stock, including the holders of more than 5% of our outstanding capital stock as of such issuance and sale. The Amended and Restated RoFR Agreement, as amended and restated on May 17, 2023 in connection with the Series C Preferred Stock Financing and on February 14, 2025 in connection with the Series D Preferred Stock Financing, is referred to herein as the A&amp;R RoFR Agreement. Certain holders of more than 5% of our outstanding capital stock were party to the A&amp;R RoFR Agreement, including those listed in the table in the subsection titled “</w:t>
      </w:r>
      <w:r>
        <w:rPr>
          <w:rFonts w:ascii="Times New Roman" w:cs="Times New Roman" w:eastAsia="Times New Roman" w:hAnsi="Times New Roman"/>
          <w:sz w:val="18"/>
          <w:szCs w:val="18"/>
          <w:i w:val="1"/>
          <w:iCs w:val="1"/>
          <w:color w:val="auto"/>
        </w:rPr>
        <w:t>—Series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Financing</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Pursuant to the A&amp;R RoFR Agreement, we had a right of first refusal in respect of certain sales of securities by certain holders of our common stock, including holders of more than 1% of our outstanding capital stock. To the extent we did not exercise such right in full, certain holders of our redeemable convertible preferred stock were entitled to certain rights of first refusal and co-sale in respect of such sale. The A&amp;R RoFR Agreement terminated in connection with the closing of our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Rights Letters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and sale of our redeemable convertible preferred stock, we entered into management rights letters with certain purchasers of our redeemable convertible preferred stock, including holders of more than 5% of our capital stock and entities with which certain of our directors or officers are affiliated, pursuant to which such entities were granted certain management rights, including preemptive rights, observer rights, and the rights to receive board materials, consult with and advise our management on significant business issues, review our operating plans, examine our books and records, and inspect our facilities. These management rights letters or the rights provided therein, other than certain confidentiality obligations, terminated in connection with the closing of our initial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For more information regarding these agreements with our named executive officers, see the sections of this Annual Report titled “</w:t>
      </w:r>
      <w:r>
        <w:rPr>
          <w:rFonts w:ascii="Times New Roman" w:cs="Times New Roman" w:eastAsia="Times New Roman" w:hAnsi="Times New Roman"/>
          <w:sz w:val="18"/>
          <w:szCs w:val="18"/>
          <w:i w:val="1"/>
          <w:iCs w:val="1"/>
          <w:color w:val="auto"/>
        </w:rPr>
        <w:t>Executive Compensation—Employment Arrangements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Compensation—Potential Payments Upon Termination or Change in Control</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granted options to purchase shares of our common stock to certain of our executive officers and directors. For more information regarding the options granted to our named executive officers and directors, see the section of this Annual Report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current directors and executive officers. The indemnification agreements and our Bylaws require us to indemnify our directors and executive officers to the fullest extent permitted by Delaware law. For more information regarding these agreements, see the section of this Annual Report titled “</w:t>
      </w:r>
      <w:r>
        <w:rPr>
          <w:rFonts w:ascii="Times New Roman" w:cs="Times New Roman" w:eastAsia="Times New Roman" w:hAnsi="Times New Roman"/>
          <w:sz w:val="18"/>
          <w:szCs w:val="18"/>
          <w:i w:val="1"/>
          <w:iCs w:val="1"/>
          <w:color w:val="auto"/>
        </w:rPr>
        <w:t>Executive Compensation—Limitations on Liability and Indemnification</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1" w:name="page242"/>
    <w:bookmarkEnd w:id="2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 with Catalyst4</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On June 7, 2024, we entered into a Collaboration Agreement, or the Catalyst4 Agreement, with Catalyst4, Inc., or Catalyst4, and The Column Group-Neuro, LP, or TCG. Under the Catalyst4 Agreement, we agreed to collaborate with Catalyst4 to create diagnostic, drug discovery, and drug development programs in the field of diagnostic and therapeutic uses in humans for Parkinson’s disease.</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a purchase right under the Catalyst4 Agreement, Catalyst4 invested $75.0 million in our Series D financing. After the close of our Series D financing, Catalyst4 beneficially owns more than 5% of our capital stock.</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Catalyst4 must pay us an aggregate payment of $25.0 million paid in installments over five years, to be used solely for our research and development efforts under the Catalyst4 Agreement. We are required to pay Catalyst4 up to $50.0 million in the aggregate upon the achievement of a certain regulatory milestone with respect to products developed under the Catalyst4 Agreement. Additionally, if we sell to or otherwise partner with a third party to develop or commercialize any such product candidate, we are required to pay Catalyst4 a mid-double digit percentage of the income we receive from such arrangements, up to a maximum of $50.0 million in the aggregate.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Preemptive Rights Held by Dr. Perlmutter and His Affiliate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March 12, 2021, we entered into the Perlmutter Offer Letter with Dr. Perlmutter, in which we agreed to grant Dr. Perlmutter an initial option to purchase a number of shares of our common stock equal to 10% of our capitalization on a fully diluted basis on the date of grant. In addition, subject to Dr. Perlmutter’s continued service as our Chief Executive Officer or Chair of our board, we agreed to grant Dr. Perlmutter additional options to purchase shares of our common stock such that the total number of shares exercised or exercisable pursuant to all such options equals a percentage of our capitalization on a fully diluted basis, which percentage equals (a) 10%, (b) after the third tranche closing of our Series A redeemable convertible preferred stock financing, which took place on March 29, 2021, 7%, (c) after an equity financing that has a pre-closing valuation of $1 billion, 8%, (d) after an equity financing that has a pre-closing valuation of $2 billion, 9%, (e) after an equity financing that has a pre-closing valuation of $4 billion, 10%, and (f) after an equity financing that has a pre-closing valuation of $8 billion, 11%. Our obligation to grant Dr. Perlmutter such options did not extend to our initial public offering and ceased on January 22, 2026, the effective date of the Perlmutter Employment Agreement. Dr. Perlmutter could elect to have these options issued in the form of restricted shares of common stock, all of which shares would be subject to our right to repurchase of unvested shares.</w:t>
      </w:r>
    </w:p>
    <w:p>
      <w:pPr>
        <w:spacing w:after="0" w:line="1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Series C Preferred Financing and the Series D Preferred Financing, Dr. Perlmutter entered into waivers with respect to his right to receive any equity awards under the Perlmutter Offer Letter,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Perlmutter Offer Letter, we also agreed to grant Dr. Perlmutter the right to purchase our securities issued in future private placement equity or convertible debt financings up to such that after each such financing, Dr. Perlmutter’s equity ownership, inclusive of all other securities held, equals 10% of our capitalization on a fully diluted basis. Our obligation to do so ceased on January 22, 2026, the effective date of the Perlmutter Employment Agreement.</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Perlmutter Consulting LLC, an entity controlled by Dr. Perlmutter, purchased 1,268,891 shares of our Series A-1 redeemable convertible preferred stock at a purchase price of $2.00 per share on May 12, 2021 and 855,512 shares of our Series D redeemable convertible preferred stock at a purchase price of $5.84 per share on February 14,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 written related person transaction policy that sets forth our procedures for the identification, review, consideration, and approval or ratification of related person transactions. The policy became effective on February 4, 2026. For purposes of our policy only, a related person transaction is a transaction, arrangement or relationship, or any series of similar transactions, arrangements or relationships in which (i) we are, were or will be a participant, (ii) any related person has, had or will have a direct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or indirect material interest, and (iii) in which the amount involved exceeded or will exceed, so long as we qualify as a smaller reporting company, the lesser of $120,000 or 1% of the average of our total assets as of the end of the two prior fiscal years, or, once we no longer qualify as a smaller reporting company, $120,000. Transactions involving compensation for services provided to us as an executive officer or director are not covered by this policy. A related person is any officer, director (or nominee to become a director), or beneficial owner of more than 5% of any class of our voting securities, including any of their immediate family members.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related person transaction policy, but all were approved by our board of directors considering similar factors to those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rules and listing standards of the Nasdaq Rules, a majority of the members of our board of directors must satisfy the criteria for “independence.” No director qualifies as independent under the Nasdaq Rules unless our board of directors affirmatively so determines in accordance with such rules. Our board of directors has determined that all of our directors qualify as independent under the Nasdaq Rules, other than Roger M. Perlmutter, M.D., Ph.D., Leon Chen, Ph.D., and Joshua Wolfe.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PricewaterhouseCoopers LLP has served as our independent registered public accounting firm since 2022. The following table sets forth all fees paid or accrued by us for professional audit services and other services rendered by PricewaterhouseCoopers LLP for the years ended December 31, 2025 and 2024.</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10"/>
        </w:trPr>
        <w:tc>
          <w:tcPr>
            <w:tcW w:w="49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080" w:type="dxa"/>
            <w:vAlign w:val="bottom"/>
            <w:gridSpan w:val="2"/>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2,360,000</w:t>
            </w:r>
          </w:p>
        </w:tc>
        <w:tc>
          <w:tcPr>
            <w:tcW w:w="1000" w:type="dxa"/>
            <w:vAlign w:val="bottom"/>
            <w:gridSpan w:val="2"/>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715,000</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2,362,000</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729,822</w:t>
            </w:r>
          </w:p>
        </w:tc>
        <w:tc>
          <w:tcPr>
            <w:tcW w:w="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020" w:right="16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audits of our annual financial statements and for services provided in connection with SEC filings, including consents and comfort letters. The fees for the year ended December 31, 2025 include services rendered in connection with our initial public offering.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advisory services related to value added tax.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pre-approves all audit services and permitted non-audit services (including the fees and terms thereof) to be provided to us by PricewaterhouseCoopers LLP, subject to the de minimis exception for non-audit services that are approved by the Audit Committee prior to the completion of an audit. The Audit Committee may delegate authority to one or more of its members to grant pre-approvals of audit services and permitted non-audit services provided that the decisions of such Audit Committee member or members must be reported to the full Audit Committee at its next scheduled meeting.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3" w:name="page244"/>
    <w:bookmarkEnd w:id="24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1540" w:hanging="514"/>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required</w:t>
      </w:r>
    </w:p>
    <w:p>
      <w:pPr>
        <w:spacing w:after="0" w:line="117" w:lineRule="exact"/>
        <w:rPr>
          <w:sz w:val="20"/>
          <w:szCs w:val="20"/>
          <w:color w:val="auto"/>
        </w:rPr>
      </w:pPr>
    </w:p>
    <w:p>
      <w:pPr>
        <w:ind w:left="106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54" w:lineRule="exact"/>
        <w:rPr>
          <w:sz w:val="20"/>
          <w:szCs w:val="20"/>
          <w:color w:val="auto"/>
        </w:rPr>
      </w:pPr>
    </w:p>
    <w:p>
      <w:pPr>
        <w:ind w:left="1540" w:hanging="514"/>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list of exhibits to this Annual Report is set forth below and is incorporated herein by reference. See Item 15(b) below.</w:t>
      </w:r>
    </w:p>
    <w:p>
      <w:pPr>
        <w:spacing w:after="0" w:line="117"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13" w:right="9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80" w:type="dxa"/>
            <w:vAlign w:val="bottom"/>
            <w:gridSpan w:val="21"/>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21"/>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Amended and Restated Certificate of Incorporation (incorporated by reference to Exhibit 3.1 to the Current Report on Form 8-K (File No.</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001-43085), filed with the SEC on February 6, 2026).</w:t>
              </w:r>
            </w:hyperlink>
          </w:p>
        </w:tc>
        <w:tc>
          <w:tcPr>
            <w:tcW w:w="6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Amended and Restated Bylaws (incorporated by reference to Exhibit 3.4 to the Registration Statement on Form S-1 (File No. 333-292633),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95">
              <w:r>
                <w:rPr>
                  <w:rFonts w:ascii="Times New Roman" w:cs="Times New Roman" w:eastAsia="Times New Roman" w:hAnsi="Times New Roman"/>
                  <w:sz w:val="18"/>
                  <w:szCs w:val="18"/>
                  <w:color w:val="0000FF"/>
                  <w:w w:val="99"/>
                </w:rPr>
                <w:t>filed with the SEC on January 9, 2026).</w:t>
              </w:r>
            </w:hyperlink>
          </w:p>
        </w:tc>
        <w:tc>
          <w:tcPr>
            <w:tcW w:w="72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96">
              <w:r>
                <w:rPr>
                  <w:rFonts w:ascii="Times New Roman" w:cs="Times New Roman" w:eastAsia="Times New Roman" w:hAnsi="Times New Roman"/>
                  <w:sz w:val="18"/>
                  <w:szCs w:val="18"/>
                  <w:color w:val="0000FF"/>
                  <w:w w:val="99"/>
                </w:rPr>
                <w:t>Form of Common Stock Certificate (incorporated by reference to Exhibit 4.1 to the Registration Statement on Form S-1 (File No. 333-</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292633)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January 9,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Form of Warrant to Purchase Stock (incorporated by reference to Exhibit 4.2 to the Registration Statement on Form S-1 (File No. 333-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292633)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January 9, 2026).</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8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Amended and Restated Investors’ Rights Agreement, dated February 14, 2025, by and among Eikon Therapeutics, Inc. and the investors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thereto (incorporated by reference to Exhibit 4.3 to the Registration Statement on Form S-1 (File No. 333-292633), filed with the SEC on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98">
              <w:r>
                <w:rPr>
                  <w:rFonts w:ascii="Times New Roman" w:cs="Times New Roman" w:eastAsia="Times New Roman" w:hAnsi="Times New Roman"/>
                  <w:sz w:val="18"/>
                  <w:szCs w:val="18"/>
                  <w:color w:val="0000FF"/>
                  <w:w w:val="99"/>
                </w:rPr>
                <w:t>January 9, 2026).</w:t>
              </w:r>
            </w:hyperlink>
          </w:p>
        </w:tc>
        <w:tc>
          <w:tcPr>
            <w:tcW w:w="88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Registrant’s Securities.</w:t>
            </w:r>
          </w:p>
        </w:tc>
        <w:tc>
          <w:tcPr>
            <w:tcW w:w="73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Eikon Therapeutics, Inc. 2019 Equity Incentive Plan, as amended, and forms of agreement thereunder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9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Amendment No. 1 to the Registration Statement on Form S-1 (File No. 333-292633), filed with the SEC on January 28, 2026).</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6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Eikon Therapeutics, Inc. 2026 Long Term Incentive Plan, and forms of agreement thereunder.</w:t>
            </w:r>
          </w:p>
        </w:tc>
        <w:tc>
          <w:tcPr>
            <w:tcW w:w="33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Eikon Therapeutics, Inc. 2026 Employee Stock Purchase Plan (incorporated by reference to Exhibit 10.3 to Amendment No. 1 to the</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Registration Statement on Form S-1 (File No. 333-292633), filed with the SEC on January 28,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01">
              <w:r>
                <w:rPr>
                  <w:rFonts w:ascii="Times New Roman" w:cs="Times New Roman" w:eastAsia="Times New Roman" w:hAnsi="Times New Roman"/>
                  <w:sz w:val="18"/>
                  <w:szCs w:val="18"/>
                  <w:color w:val="0000FF"/>
                </w:rPr>
                <w:t>Eikon Therapeutics, Inc. Amended and Restated Notice of Stock Option Grant, by and between Eikon Therapeutics, Inc. and Roger M.</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01">
              <w:r>
                <w:rPr>
                  <w:rFonts w:ascii="Times New Roman" w:cs="Times New Roman" w:eastAsia="Times New Roman" w:hAnsi="Times New Roman"/>
                  <w:sz w:val="18"/>
                  <w:szCs w:val="18"/>
                  <w:color w:val="0000FF"/>
                </w:rPr>
                <w:t>Perlmutter, M.D., Ph.D., and the Stock Option Agreement, dated May 6, 2025 (incorporated by reference to Exhibit 10.4 to Amendment</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01">
              <w:r>
                <w:rPr>
                  <w:rFonts w:ascii="Times New Roman" w:cs="Times New Roman" w:eastAsia="Times New Roman" w:hAnsi="Times New Roman"/>
                  <w:sz w:val="18"/>
                  <w:szCs w:val="18"/>
                  <w:color w:val="0000FF"/>
                  <w:w w:val="99"/>
                </w:rPr>
                <w:t>No. 1 to the Registration Statement on Form S-1 (File No. 333-292633), filed with the SEC on January 28, 2026).</w:t>
              </w:r>
            </w:hyperlink>
          </w:p>
        </w:tc>
        <w:tc>
          <w:tcPr>
            <w:tcW w:w="1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8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Eikon Therapeutics, Inc. Notice of Stock Option Grant, by and between Eikon Therapeutics, Inc. and Roger M. Perlmutter, M.D., Ph.D.,</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and the Stock Option Agreement, dated May 6, 2025 (incorporated by reference to Exhibit 10.5 to Amendment No. 1 to the Registration</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02">
              <w:r>
                <w:rPr>
                  <w:rFonts w:ascii="Times New Roman" w:cs="Times New Roman" w:eastAsia="Times New Roman" w:hAnsi="Times New Roman"/>
                  <w:sz w:val="18"/>
                  <w:szCs w:val="18"/>
                  <w:color w:val="0000FF"/>
                  <w:w w:val="99"/>
                </w:rPr>
                <w:t>Statement on Form S-1 (File No. 333-292633), filed with the SEC on January 28, 2026).</w:t>
              </w:r>
            </w:hyperlink>
          </w:p>
        </w:tc>
        <w:tc>
          <w:tcPr>
            <w:tcW w:w="37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Form of Indemnification Agreement by and between Eikon Therapeutics, Inc. and its directors and executive officers (incorporated by</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503">
              <w:r>
                <w:rPr>
                  <w:rFonts w:ascii="Times New Roman" w:cs="Times New Roman" w:eastAsia="Times New Roman" w:hAnsi="Times New Roman"/>
                  <w:sz w:val="18"/>
                  <w:szCs w:val="18"/>
                  <w:color w:val="0000FF"/>
                  <w:w w:val="99"/>
                </w:rPr>
                <w:t>reference to Exhibit 10.4 to the Registration Statement on Form S-1 (File No. 333-292633), filed with the SEC on January 9, 2026).</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Executive Employment Agreement, dated January 22, 2026, by and between Roger M. Perlmutter and Eikon Therapeutics, Inc</w:t>
              </w:r>
            </w:hyperlink>
          </w:p>
        </w:tc>
        <w:tc>
          <w:tcPr>
            <w:tcW w:w="9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(incorporated by reference to Exhibit 10.7 to Amendment No. 1 to the Registration Statement on Form S-1 (File No. 333-292633), filed</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04">
              <w:r>
                <w:rPr>
                  <w:rFonts w:ascii="Times New Roman" w:cs="Times New Roman" w:eastAsia="Times New Roman" w:hAnsi="Times New Roman"/>
                  <w:sz w:val="18"/>
                  <w:szCs w:val="18"/>
                  <w:color w:val="0000FF"/>
                  <w:w w:val="99"/>
                </w:rPr>
                <w:t>with the SEC on January 28, 2026).</w:t>
              </w:r>
            </w:hyperlink>
          </w:p>
        </w:tc>
        <w:tc>
          <w:tcPr>
            <w:tcW w:w="75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Executive Employment Agreement, dated January 22, 2026, by and between Michael Klobuchar and Eikon Therapeutics,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by reference to Exhibit 10.8 to Amendment No. 1 to the Registration Statement on Form S-1 (File No. 333-292633), filed with the SEC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05">
              <w:r>
                <w:rPr>
                  <w:rFonts w:ascii="Times New Roman" w:cs="Times New Roman" w:eastAsia="Times New Roman" w:hAnsi="Times New Roman"/>
                  <w:sz w:val="18"/>
                  <w:szCs w:val="18"/>
                  <w:color w:val="0000FF"/>
                  <w:w w:val="99"/>
                </w:rPr>
                <w:t>January 28, 2026).</w:t>
              </w:r>
            </w:hyperlink>
          </w:p>
        </w:tc>
        <w:tc>
          <w:tcPr>
            <w:tcW w:w="87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Executive Employment Agreement, dated January 25, 2026, by and between Roy Baynes and Eikon Therapeutics, Inc (incorporated by</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reference to Exhibit 10.9 to Amendment No. 1 to the Registration Statement on Form S-1 (File No. 333-292633), filed with the SEC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January 28, 2026).</w:t>
              </w:r>
            </w:hyperlink>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0000FF"/>
            </w:tcBorders>
            <w:gridSpan w:val="2"/>
          </w:tcPr>
          <w:p>
            <w:pPr>
              <w:spacing w:after="0"/>
              <w:rPr>
                <w:sz w:val="24"/>
                <w:szCs w:val="24"/>
                <w:color w:val="auto"/>
              </w:rPr>
            </w:pPr>
          </w:p>
        </w:tc>
        <w:tc>
          <w:tcPr>
            <w:tcW w:w="5040" w:type="dxa"/>
            <w:vAlign w:val="bottom"/>
            <w:gridSpan w:val="7"/>
          </w:tcPr>
          <w:p>
            <w:pPr>
              <w:jc w:val="right"/>
              <w:ind w:right="1679"/>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Exclusive Collaboration Agreement, dated March 29, 2023, by and among Eikon Therapeutics, Inc., Seven and Eight Biotherapeutics</w:t>
              </w:r>
            </w:hyperlink>
          </w:p>
        </w:tc>
        <w:tc>
          <w:tcPr>
            <w:tcW w:w="4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Corp., Birdie Biopharmaceuticals Inc., Birdie Biotherapeutics HK Limited, Birdie Biopharmaceuticals Co. Limited, Seven and Eight</w:t>
              </w:r>
            </w:hyperlink>
          </w:p>
        </w:tc>
        <w:tc>
          <w:tcPr>
            <w:tcW w:w="48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Biopharmaceuticals Inc., Birdie Biopharmaceuticals HK Limited, Birdie Biotechnology (BVI Limited), Birdie Biotechnology HK Limited,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and Birdie Biopharmaceuticals (Beijing) Co., Ltd. (incorporated by reference to Exhibit 10.8 to the Registration Statement on Form S-1</w:t>
              </w:r>
            </w:hyperlink>
          </w:p>
        </w:tc>
        <w:tc>
          <w:tcPr>
            <w:tcW w:w="28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(File No. 333-292633), filed with the SEC on January 9, 2026).</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Amendment No. 1 to the Exclusive Collaboration Agreement, dated May 16, 2023, by and among Eikon Therapeutics, Inc., Seven and</w:t>
              </w:r>
            </w:hyperlink>
          </w:p>
        </w:tc>
        <w:tc>
          <w:tcPr>
            <w:tcW w:w="3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Eight Biotherapeutics Corp., Birdie Biopharmaceuticals Inc., Birdie Biotherapeutics HK Limited, Birdie Biopharmaceuticals Co. Limited,</w:t>
              </w:r>
            </w:hyperlink>
          </w:p>
        </w:tc>
        <w:tc>
          <w:tcPr>
            <w:tcW w:w="1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Seven and Eight Biopharmaceuticals Inc., Birdie Biopharmaceuticals HK Limited, Birdie Biotechnology (BVI Limited), Birdie</w:t>
              </w:r>
            </w:hyperlink>
          </w:p>
        </w:tc>
        <w:tc>
          <w:tcPr>
            <w:tcW w:w="88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Biotechnology HK Limited, and Birdie Biopharmaceuticals (Beijing) Co., Ltd. (incorporated by reference to Exhibit 10.9 to the</w:t>
              </w:r>
            </w:hyperlink>
          </w:p>
        </w:tc>
        <w:tc>
          <w:tcPr>
            <w:tcW w:w="86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Registration Statement on Form S-1 (File No. 333-292633), filed with the SEC on January 9, 2026).</w:t>
              </w:r>
            </w:hyperlink>
          </w:p>
        </w:tc>
        <w:tc>
          <w:tcPr>
            <w:tcW w:w="2860" w:type="dxa"/>
            <w:vAlign w:val="bottom"/>
            <w:gridSpan w:val="2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511">
              <w:r>
                <w:rPr>
                  <w:rFonts w:ascii="Times New Roman" w:cs="Times New Roman" w:eastAsia="Times New Roman" w:hAnsi="Times New Roman"/>
                  <w:sz w:val="18"/>
                  <w:szCs w:val="18"/>
                  <w:color w:val="0000FF"/>
                </w:rPr>
                <w:t>Exclusive License and Development Agreement, dated March 29, 2023, by and among Eikon Therapeutics, Inc., Superb Wisdom Limited,</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511">
              <w:r>
                <w:rPr>
                  <w:rFonts w:ascii="Times New Roman" w:cs="Times New Roman" w:eastAsia="Times New Roman" w:hAnsi="Times New Roman"/>
                  <w:sz w:val="18"/>
                  <w:szCs w:val="18"/>
                  <w:color w:val="0000FF"/>
                  <w:w w:val="99"/>
                </w:rPr>
                <w:t>Seven and Eight Biotherapeutics Corp., Birdie Biopharmaceuticals Inc., Birdie Biotherapeutics HK Limited, Birdie Biopharmaceuticals Co.</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11">
              <w:r>
                <w:rPr>
                  <w:rFonts w:ascii="Times New Roman" w:cs="Times New Roman" w:eastAsia="Times New Roman" w:hAnsi="Times New Roman"/>
                  <w:sz w:val="18"/>
                  <w:szCs w:val="18"/>
                  <w:color w:val="0000FF"/>
                </w:rPr>
                <w:t>Limited, Seven and Eight Biopharmaceuticals Inc., Birdie Biopharmaceuticals HK Limited, Birdie Biotechnology (BVI Limited), Birdie</w:t>
              </w:r>
            </w:hyperlink>
          </w:p>
        </w:tc>
        <w:tc>
          <w:tcPr>
            <w:tcW w:w="2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511">
              <w:r>
                <w:rPr>
                  <w:rFonts w:ascii="Times New Roman" w:cs="Times New Roman" w:eastAsia="Times New Roman" w:hAnsi="Times New Roman"/>
                  <w:sz w:val="18"/>
                  <w:szCs w:val="18"/>
                  <w:color w:val="0000FF"/>
                </w:rPr>
                <w:t>Biotechnology HK Limited, and Birdie Biopharmaceuticals (Beijing) Co., Ltd. (incorporated by reference to Exhibit 10.10 to the</w:t>
              </w:r>
            </w:hyperlink>
          </w:p>
        </w:tc>
        <w:tc>
          <w:tcPr>
            <w:tcW w:w="76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11">
              <w:r>
                <w:rPr>
                  <w:rFonts w:ascii="Times New Roman" w:cs="Times New Roman" w:eastAsia="Times New Roman" w:hAnsi="Times New Roman"/>
                  <w:sz w:val="18"/>
                  <w:szCs w:val="18"/>
                  <w:color w:val="0000FF"/>
                  <w:w w:val="99"/>
                </w:rPr>
                <w:t>Registration Statement on Form S-1 (File No. 333-292633), filed with the SEC on January 9, 2026).</w:t>
              </w:r>
            </w:hyperlink>
          </w:p>
        </w:tc>
        <w:tc>
          <w:tcPr>
            <w:tcW w:w="2880" w:type="dxa"/>
            <w:vAlign w:val="bottom"/>
            <w:gridSpan w:val="2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4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12">
              <w:r>
                <w:rPr>
                  <w:rFonts w:ascii="Times New Roman" w:cs="Times New Roman" w:eastAsia="Times New Roman" w:hAnsi="Times New Roman"/>
                  <w:sz w:val="18"/>
                  <w:szCs w:val="18"/>
                  <w:color w:val="0000FF"/>
                </w:rPr>
                <w:t>Amended and Restated Collaboration Agreement, dated November 22, 2023, by and between Eikon Therapeutics, Inc. and Impact</w:t>
              </w:r>
            </w:hyperlink>
          </w:p>
        </w:tc>
        <w:tc>
          <w:tcPr>
            <w:tcW w:w="66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12">
              <w:r>
                <w:rPr>
                  <w:rFonts w:ascii="Times New Roman" w:cs="Times New Roman" w:eastAsia="Times New Roman" w:hAnsi="Times New Roman"/>
                  <w:sz w:val="18"/>
                  <w:szCs w:val="18"/>
                  <w:color w:val="0000FF"/>
                  <w:w w:val="99"/>
                </w:rPr>
                <w:t>Therapeutics (Shanghai), Inc. (incorporated by reference to Exhibit 10.11 to the Registration Statement on Form S-1 (File No. 333-</w:t>
              </w:r>
            </w:hyperlink>
          </w:p>
        </w:tc>
        <w:tc>
          <w:tcPr>
            <w:tcW w:w="64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12">
              <w:r>
                <w:rPr>
                  <w:rFonts w:ascii="Times New Roman" w:cs="Times New Roman" w:eastAsia="Times New Roman" w:hAnsi="Times New Roman"/>
                  <w:sz w:val="18"/>
                  <w:szCs w:val="18"/>
                  <w:color w:val="0000FF"/>
                  <w:w w:val="99"/>
                </w:rPr>
                <w:t>292633)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January 9, 2026).</w:t>
              </w:r>
            </w:hyperlink>
          </w:p>
        </w:tc>
        <w:tc>
          <w:tcPr>
            <w:tcW w:w="6540" w:type="dxa"/>
            <w:vAlign w:val="bottom"/>
            <w:gridSpan w:val="2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513">
              <w:r>
                <w:rPr>
                  <w:rFonts w:ascii="Times New Roman" w:cs="Times New Roman" w:eastAsia="Times New Roman" w:hAnsi="Times New Roman"/>
                  <w:sz w:val="18"/>
                  <w:szCs w:val="18"/>
                  <w:color w:val="0000FF"/>
                </w:rPr>
                <w:t>Amendment No. 1 to the Amended and Restated Collaboration Agreement, dated December 12, 2024, by and between Eikon Therapeutics,</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513">
              <w:r>
                <w:rPr>
                  <w:rFonts w:ascii="Times New Roman" w:cs="Times New Roman" w:eastAsia="Times New Roman" w:hAnsi="Times New Roman"/>
                  <w:sz w:val="18"/>
                  <w:szCs w:val="18"/>
                  <w:color w:val="0000FF"/>
                </w:rPr>
                <w:t>Inc. and Impact Therapeutics (Shanghai), Inc. (incorporated by reference to Exhibit 10.12 to the Registration Statement on Form S-1 (File</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513">
              <w:r>
                <w:rPr>
                  <w:rFonts w:ascii="Times New Roman" w:cs="Times New Roman" w:eastAsia="Times New Roman" w:hAnsi="Times New Roman"/>
                  <w:sz w:val="18"/>
                  <w:szCs w:val="18"/>
                  <w:color w:val="0000FF"/>
                </w:rPr>
                <w:t>No. 333-292633), filed with the SEC on January 9, 2026).</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Clinical Trial Collaboration and Supply Agreement, dated August 1, 2024, by and between Eikon Therapeutics, Inc. and MSD International</w:t>
              </w:r>
            </w:hyperlink>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Business GmbH (incorporated by reference to Exhibit 10.13 to the Registration Statement on Form S-1 (File No. 333-292633), filed with</w:t>
              </w:r>
            </w:hyperlink>
          </w:p>
        </w:tc>
        <w:tc>
          <w:tcPr>
            <w:tcW w:w="16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14">
              <w:r>
                <w:rPr>
                  <w:rFonts w:ascii="Times New Roman" w:cs="Times New Roman" w:eastAsia="Times New Roman" w:hAnsi="Times New Roman"/>
                  <w:sz w:val="18"/>
                  <w:szCs w:val="18"/>
                  <w:color w:val="0000FF"/>
                  <w:w w:val="99"/>
                </w:rPr>
                <w:t>the SEC on January 9, 2026).</w:t>
              </w:r>
            </w:hyperlink>
          </w:p>
        </w:tc>
        <w:tc>
          <w:tcPr>
            <w:tcW w:w="7980" w:type="dxa"/>
            <w:vAlign w:val="bottom"/>
            <w:gridSpan w:val="2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515">
              <w:r>
                <w:rPr>
                  <w:rFonts w:ascii="Times New Roman" w:cs="Times New Roman" w:eastAsia="Times New Roman" w:hAnsi="Times New Roman"/>
                  <w:sz w:val="18"/>
                  <w:szCs w:val="18"/>
                  <w:color w:val="0000FF"/>
                </w:rPr>
                <w:t>Clinical Trial Collaboration and Supply Agreement, dated December 3, 2025, by and between Eikon Therapeutics, Inc. and MSD</w:t>
              </w:r>
            </w:hyperlink>
          </w:p>
        </w:tc>
        <w:tc>
          <w:tcPr>
            <w:tcW w:w="720" w:type="dxa"/>
            <w:vAlign w:val="bottom"/>
            <w:gridSpan w:val="1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515">
              <w:r>
                <w:rPr>
                  <w:rFonts w:ascii="Times New Roman" w:cs="Times New Roman" w:eastAsia="Times New Roman" w:hAnsi="Times New Roman"/>
                  <w:sz w:val="18"/>
                  <w:szCs w:val="18"/>
                  <w:color w:val="0000FF"/>
                </w:rPr>
                <w:t>International Business GmbH (incorporated by reference to Exhibit 10.17 to the Registration Statement on Form S-1 (File No. 333-</w:t>
              </w:r>
            </w:hyperlink>
          </w:p>
        </w:tc>
      </w:tr>
      <w:tr>
        <w:trPr>
          <w:trHeight w:val="196"/>
        </w:trPr>
        <w:tc>
          <w:tcPr>
            <w:tcW w:w="11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15">
              <w:r>
                <w:rPr>
                  <w:rFonts w:ascii="Times New Roman" w:cs="Times New Roman" w:eastAsia="Times New Roman" w:hAnsi="Times New Roman"/>
                  <w:sz w:val="18"/>
                  <w:szCs w:val="18"/>
                  <w:color w:val="0000FF"/>
                  <w:w w:val="99"/>
                </w:rPr>
                <w:t>292633)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January 9, 2026).</w:t>
              </w:r>
            </w:hyperlink>
          </w:p>
        </w:tc>
        <w:tc>
          <w:tcPr>
            <w:tcW w:w="5900" w:type="dxa"/>
            <w:vAlign w:val="bottom"/>
            <w:tcBorders>
              <w:top w:val="single" w:sz="8" w:color="0000FF"/>
            </w:tcBorders>
            <w:gridSpan w:val="10"/>
          </w:tcPr>
          <w:p>
            <w:pPr>
              <w:spacing w:after="0"/>
              <w:rPr>
                <w:sz w:val="17"/>
                <w:szCs w:val="17"/>
                <w:color w:val="auto"/>
              </w:rPr>
            </w:pPr>
          </w:p>
        </w:tc>
        <w:tc>
          <w:tcPr>
            <w:tcW w:w="640" w:type="dxa"/>
            <w:vAlign w:val="bottom"/>
            <w:gridSpan w:val="1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516">
              <w:r>
                <w:rPr>
                  <w:rFonts w:ascii="Times New Roman" w:cs="Times New Roman" w:eastAsia="Times New Roman" w:hAnsi="Times New Roman"/>
                  <w:sz w:val="18"/>
                  <w:szCs w:val="18"/>
                  <w:color w:val="0000FF"/>
                </w:rPr>
                <w:t>Clinical Trial Collaboration and Supply Agreement, dated December 5, 2025, by and between Eikon Therapeutics, Inc. and MSD</w:t>
              </w:r>
            </w:hyperlink>
          </w:p>
        </w:tc>
        <w:tc>
          <w:tcPr>
            <w:tcW w:w="720" w:type="dxa"/>
            <w:vAlign w:val="bottom"/>
            <w:gridSpan w:val="1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516">
              <w:r>
                <w:rPr>
                  <w:rFonts w:ascii="Times New Roman" w:cs="Times New Roman" w:eastAsia="Times New Roman" w:hAnsi="Times New Roman"/>
                  <w:sz w:val="18"/>
                  <w:szCs w:val="18"/>
                  <w:color w:val="0000FF"/>
                </w:rPr>
                <w:t>International Business GmbH (incorporated by reference to Exhibit 10.18 to the Registration Statement on Form S-1 (File No. 333-</w:t>
              </w:r>
            </w:hyperlink>
          </w:p>
        </w:tc>
      </w:tr>
      <w:tr>
        <w:trPr>
          <w:trHeight w:val="196"/>
        </w:trPr>
        <w:tc>
          <w:tcPr>
            <w:tcW w:w="11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16">
              <w:r>
                <w:rPr>
                  <w:rFonts w:ascii="Times New Roman" w:cs="Times New Roman" w:eastAsia="Times New Roman" w:hAnsi="Times New Roman"/>
                  <w:sz w:val="18"/>
                  <w:szCs w:val="18"/>
                  <w:color w:val="0000FF"/>
                  <w:w w:val="99"/>
                </w:rPr>
                <w:t>292633)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January 9, 2026).</w:t>
              </w:r>
            </w:hyperlink>
          </w:p>
        </w:tc>
        <w:tc>
          <w:tcPr>
            <w:tcW w:w="5900" w:type="dxa"/>
            <w:vAlign w:val="bottom"/>
            <w:tcBorders>
              <w:top w:val="single" w:sz="8" w:color="0000FF"/>
            </w:tcBorders>
            <w:gridSpan w:val="10"/>
          </w:tcPr>
          <w:p>
            <w:pPr>
              <w:spacing w:after="0"/>
              <w:rPr>
                <w:sz w:val="17"/>
                <w:szCs w:val="17"/>
                <w:color w:val="auto"/>
              </w:rPr>
            </w:pPr>
          </w:p>
        </w:tc>
        <w:tc>
          <w:tcPr>
            <w:tcW w:w="640" w:type="dxa"/>
            <w:vAlign w:val="bottom"/>
            <w:gridSpan w:val="1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5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517">
              <w:r>
                <w:rPr>
                  <w:rFonts w:ascii="Times New Roman" w:cs="Times New Roman" w:eastAsia="Times New Roman" w:hAnsi="Times New Roman"/>
                  <w:sz w:val="18"/>
                  <w:szCs w:val="18"/>
                  <w:color w:val="0000FF"/>
                </w:rPr>
                <w:t>Lease Agreement, dated June 8, 2022, by and among Eikon Therapeutics, Inc., ARE-230 Adrian Road, LLC and ARE-231 Millbrae</w:t>
              </w:r>
            </w:hyperlink>
          </w:p>
        </w:tc>
        <w:tc>
          <w:tcPr>
            <w:tcW w:w="54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17">
              <w:r>
                <w:rPr>
                  <w:rFonts w:ascii="Times New Roman" w:cs="Times New Roman" w:eastAsia="Times New Roman" w:hAnsi="Times New Roman"/>
                  <w:sz w:val="18"/>
                  <w:szCs w:val="18"/>
                  <w:color w:val="0000FF"/>
                </w:rPr>
                <w:t>Avenue, LLC (incorporated by reference to Exhibit 10.14 to the Registration Statement on Form S-1 (File No. 333-292633), filed with the</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17">
              <w:r>
                <w:rPr>
                  <w:rFonts w:ascii="Times New Roman" w:cs="Times New Roman" w:eastAsia="Times New Roman" w:hAnsi="Times New Roman"/>
                  <w:sz w:val="18"/>
                  <w:szCs w:val="18"/>
                  <w:color w:val="0000FF"/>
                  <w:w w:val="99"/>
                </w:rPr>
                <w:t>SEC on January 9, 2026).</w:t>
              </w:r>
            </w:hyperlink>
          </w:p>
        </w:tc>
        <w:tc>
          <w:tcPr>
            <w:tcW w:w="8240" w:type="dxa"/>
            <w:vAlign w:val="bottom"/>
            <w:gridSpan w:val="2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First Amendment to Lease Agreement, dated September 13, 2024, by and between Eikon Therapeutics, Inc. and ARE-230 Adrian Road,</w:t>
              </w:r>
            </w:hyperlink>
          </w:p>
        </w:tc>
        <w:tc>
          <w:tcPr>
            <w:tcW w:w="24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LLC (incorporated by reference to Exhibit 10.15 to the Registration Statement on Form S-1 (File No. 333-292633), filed with the SEC on</w:t>
              </w:r>
            </w:hyperlink>
          </w:p>
        </w:tc>
        <w:tc>
          <w:tcPr>
            <w:tcW w:w="1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18">
              <w:r>
                <w:rPr>
                  <w:rFonts w:ascii="Times New Roman" w:cs="Times New Roman" w:eastAsia="Times New Roman" w:hAnsi="Times New Roman"/>
                  <w:sz w:val="18"/>
                  <w:szCs w:val="18"/>
                  <w:color w:val="0000FF"/>
                  <w:w w:val="99"/>
                </w:rPr>
                <w:t>January 9, 2026).</w:t>
              </w:r>
            </w:hyperlink>
          </w:p>
        </w:tc>
        <w:tc>
          <w:tcPr>
            <w:tcW w:w="8840" w:type="dxa"/>
            <w:vAlign w:val="bottom"/>
            <w:gridSpan w:val="30"/>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Letter Agreement for Second Additional Tenant Improvement Allowance, dated November 28, 2023, by and between Eikon Therapeutics,</w:t>
              </w:r>
            </w:hyperlink>
          </w:p>
        </w:tc>
        <w:tc>
          <w:tcPr>
            <w:tcW w:w="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Inc. and ARE-230 Adrian Road, LLC (incorporated by reference to Exhibit 10.16 to the Registration Statement on Form S-1 (File No. 333-</w:t>
              </w:r>
            </w:hyperlink>
          </w:p>
        </w:tc>
      </w:tr>
      <w:tr>
        <w:trPr>
          <w:trHeight w:val="196"/>
        </w:trPr>
        <w:tc>
          <w:tcPr>
            <w:tcW w:w="1140" w:type="dxa"/>
            <w:vAlign w:val="bottom"/>
          </w:tcPr>
          <w:p>
            <w:pPr>
              <w:spacing w:after="0"/>
              <w:rPr>
                <w:sz w:val="17"/>
                <w:szCs w:val="17"/>
                <w:color w:val="auto"/>
              </w:rPr>
            </w:pPr>
          </w:p>
        </w:tc>
        <w:tc>
          <w:tcPr>
            <w:tcW w:w="1004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292633)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January 9, 2026).</w:t>
              </w:r>
            </w:hyperlink>
          </w:p>
        </w:tc>
        <w:tc>
          <w:tcPr>
            <w:tcW w:w="60" w:type="dxa"/>
            <w:vAlign w:val="bottom"/>
            <w:gridSpan w:val="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Insider Trading Policy</w:t>
            </w:r>
            <w:r>
              <w:rPr>
                <w:rFonts w:ascii="Times New Roman" w:cs="Times New Roman" w:eastAsia="Times New Roman" w:hAnsi="Times New Roman"/>
                <w:sz w:val="18"/>
                <w:szCs w:val="18"/>
                <w:color w:val="000000"/>
              </w:rPr>
              <w:t>.</w:t>
            </w:r>
          </w:p>
        </w:tc>
        <w:tc>
          <w:tcPr>
            <w:tcW w:w="6560" w:type="dxa"/>
            <w:vAlign w:val="bottom"/>
            <w:gridSpan w:val="26"/>
          </w:tcPr>
          <w:p>
            <w:pPr>
              <w:spacing w:after="0"/>
              <w:rPr>
                <w:sz w:val="24"/>
                <w:szCs w:val="24"/>
                <w:color w:val="auto"/>
              </w:rPr>
            </w:pPr>
          </w:p>
        </w:tc>
      </w:tr>
      <w:tr>
        <w:trPr>
          <w:trHeight w:val="668"/>
        </w:trPr>
        <w:tc>
          <w:tcPr>
            <w:tcW w:w="1140" w:type="dxa"/>
            <w:vAlign w:val="bottom"/>
          </w:tcPr>
          <w:p>
            <w:pPr>
              <w:spacing w:after="0"/>
              <w:rPr>
                <w:sz w:val="24"/>
                <w:szCs w:val="24"/>
                <w:color w:val="auto"/>
              </w:rPr>
            </w:pPr>
          </w:p>
        </w:tc>
        <w:tc>
          <w:tcPr>
            <w:tcW w:w="1620" w:type="dxa"/>
            <w:vAlign w:val="bottom"/>
            <w:tcBorders>
              <w:top w:val="single" w:sz="8" w:color="0000FF"/>
            </w:tcBorders>
            <w:gridSpan w:val="2"/>
          </w:tcPr>
          <w:p>
            <w:pPr>
              <w:spacing w:after="0"/>
              <w:rPr>
                <w:sz w:val="24"/>
                <w:szCs w:val="24"/>
                <w:color w:val="auto"/>
              </w:rPr>
            </w:pPr>
          </w:p>
        </w:tc>
        <w:tc>
          <w:tcPr>
            <w:tcW w:w="5600" w:type="dxa"/>
            <w:vAlign w:val="bottom"/>
            <w:gridSpan w:val="7"/>
          </w:tcPr>
          <w:p>
            <w:pPr>
              <w:jc w:val="right"/>
              <w:ind w:right="260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6" w:name="page247"/>
    <w:bookmarkEnd w:id="246"/>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22">
              <w:r>
                <w:rPr>
                  <w:rFonts w:ascii="Times New Roman" w:cs="Times New Roman" w:eastAsia="Times New Roman" w:hAnsi="Times New Roman"/>
                  <w:sz w:val="18"/>
                  <w:szCs w:val="18"/>
                  <w:color w:val="0000FF"/>
                </w:rPr>
                <w:t>Subsidiaries of Eikon Therapeutics, Inc. (incorporated by reference to Exhibit 21.1 to the Registration Statement on Form S-1 (File No.</w:t>
              </w:r>
            </w:hyperlink>
          </w:p>
        </w:tc>
        <w:tc>
          <w:tcPr>
            <w:tcW w:w="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22">
              <w:r>
                <w:rPr>
                  <w:rFonts w:ascii="Times New Roman" w:cs="Times New Roman" w:eastAsia="Times New Roman" w:hAnsi="Times New Roman"/>
                  <w:sz w:val="18"/>
                  <w:szCs w:val="18"/>
                  <w:color w:val="0000FF"/>
                  <w:w w:val="99"/>
                </w:rPr>
                <w:t>333-292633), filed with the SEC on January 9, 2026).</w:t>
              </w:r>
            </w:hyperlink>
          </w:p>
        </w:tc>
        <w:tc>
          <w:tcPr>
            <w:tcW w:w="6200" w:type="dxa"/>
            <w:vAlign w:val="bottom"/>
            <w:gridSpan w:val="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3480" w:type="dxa"/>
            <w:vAlign w:val="bottom"/>
            <w:gridSpan w:val="5"/>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2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Compensation Clawback Policy.</w:t>
            </w:r>
          </w:p>
        </w:tc>
        <w:tc>
          <w:tcPr>
            <w:tcW w:w="7720" w:type="dxa"/>
            <w:vAlign w:val="bottom"/>
            <w:gridSpan w:val="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4230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36" w:lineRule="exact"/>
        <w:rPr>
          <w:sz w:val="20"/>
          <w:szCs w:val="20"/>
          <w:color w:val="auto"/>
        </w:rPr>
      </w:pPr>
    </w:p>
    <w:p>
      <w:pPr>
        <w:ind w:firstLine="8"/>
        <w:spacing w:after="0" w:line="273" w:lineRule="auto"/>
        <w:tabs>
          <w:tab w:leader="none" w:pos="1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 * *]) have been omitted because the Registrant has determined that the information is both (i) not material and (ii) of the type that the Registrant treats as private and confidential.</w:t>
      </w:r>
    </w:p>
    <w:p>
      <w:pPr>
        <w:spacing w:after="0" w:line="2" w:lineRule="exact"/>
        <w:rPr>
          <w:sz w:val="20"/>
          <w:szCs w:val="20"/>
          <w:color w:val="auto"/>
        </w:rPr>
      </w:pPr>
    </w:p>
    <w:p>
      <w:pPr>
        <w:ind w:right="400" w:firstLine="8"/>
        <w:spacing w:after="0" w:line="282" w:lineRule="auto"/>
        <w:tabs>
          <w:tab w:leader="none" w:pos="1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exhibits to this exhibit have been omitted pursuant to Item 601(a)(5) of Regulation S-K. A copy of any omitted schedule and/or exhibit will be furnished to the SEC upon request.</w:t>
      </w:r>
    </w:p>
    <w:p>
      <w:pPr>
        <w:spacing w:after="0" w:line="270" w:lineRule="exact"/>
        <w:rPr>
          <w:sz w:val="20"/>
          <w:szCs w:val="20"/>
          <w:color w:val="auto"/>
        </w:rPr>
      </w:pPr>
    </w:p>
    <w:p>
      <w:pPr>
        <w:ind w:left="1020" w:right="8040" w:hanging="503"/>
        <w:spacing w:after="0" w:line="407"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229" w:lineRule="exact"/>
        <w:rPr>
          <w:sz w:val="20"/>
          <w:szCs w:val="20"/>
          <w:color w:val="auto"/>
        </w:rPr>
      </w:pPr>
    </w:p>
    <w:p>
      <w:pPr>
        <w:spacing w:after="0"/>
        <w:tabs>
          <w:tab w:leader="none" w:pos="5580" w:val="left"/>
          <w:tab w:leader="none" w:pos="728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Roger M. Perlmutter,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Roger M. Perlmutter, M.D., Ph.D.</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9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Roger M. Perlmutter and Alfred Bowie, and each of them, as his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399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Roger M. Perlmutter,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99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M. Perlmutter, M.D., Ph.D.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Alfred Bowie,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Alfred Bowie, Ph.D.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Leon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 Chen, Ph.D.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C. Frazier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Huffines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Huffines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Meline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Wolfe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Chair and 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234"/>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51"/>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56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56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56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56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2026</w:t>
            </w:r>
          </w:p>
        </w:tc>
      </w:tr>
    </w:tbl>
    <w:p>
      <w:pPr>
        <w:spacing w:after="0" w:line="393"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6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231F20"/>
        </w:rPr>
        <w:t>DESCRIPTION OF SECURITIES OF EIKON THERAPEUTICS, INC.</w:t>
      </w:r>
    </w:p>
    <w:p>
      <w:pPr>
        <w:spacing w:after="0" w:line="200" w:lineRule="exact"/>
        <w:rPr>
          <w:sz w:val="20"/>
          <w:szCs w:val="20"/>
          <w:color w:val="auto"/>
        </w:rPr>
      </w:pPr>
    </w:p>
    <w:p>
      <w:pPr>
        <w:spacing w:after="0" w:line="205" w:lineRule="exact"/>
        <w:rPr>
          <w:sz w:val="20"/>
          <w:szCs w:val="20"/>
          <w:color w:val="auto"/>
        </w:rPr>
      </w:pPr>
    </w:p>
    <w:p>
      <w:pPr>
        <w:ind w:right="380" w:firstLine="416"/>
        <w:spacing w:after="0" w:line="258" w:lineRule="auto"/>
        <w:rPr>
          <w:sz w:val="20"/>
          <w:szCs w:val="20"/>
          <w:color w:val="auto"/>
        </w:rPr>
      </w:pPr>
      <w:r>
        <w:rPr>
          <w:rFonts w:ascii="Times New Roman" w:cs="Times New Roman" w:eastAsia="Times New Roman" w:hAnsi="Times New Roman"/>
          <w:sz w:val="18"/>
          <w:szCs w:val="18"/>
          <w:color w:val="231F20"/>
        </w:rPr>
        <w:t>The following is a summary of the material terms of the capital stock of Eikon Therapeutics, Inc., or we, us, our, or the Company, as well as other material terms of our amended and restated certificate of incorporation, or Certificate of Incorporation, and amended and restated bylaws, or Bylaws, and certain provisions of Delaware law. This summary does not purport to be complete and is qualified in its entirety by the provisions of our Certificate of Incorporation and Bylaws, copies of which are filed as exhibits to our Annual Report on Form 10-K, to which this exhibit is a part.</w:t>
      </w:r>
    </w:p>
    <w:p>
      <w:pPr>
        <w:spacing w:after="0" w:line="75" w:lineRule="exact"/>
        <w:rPr>
          <w:sz w:val="20"/>
          <w:szCs w:val="20"/>
          <w:color w:val="auto"/>
        </w:rPr>
      </w:pPr>
    </w:p>
    <w:p>
      <w:pPr>
        <w:ind w:right="960" w:firstLine="416"/>
        <w:spacing w:after="0" w:line="282" w:lineRule="auto"/>
        <w:rPr>
          <w:sz w:val="20"/>
          <w:szCs w:val="20"/>
          <w:color w:val="auto"/>
        </w:rPr>
      </w:pPr>
      <w:r>
        <w:rPr>
          <w:rFonts w:ascii="Times New Roman" w:cs="Times New Roman" w:eastAsia="Times New Roman" w:hAnsi="Times New Roman"/>
          <w:sz w:val="18"/>
          <w:szCs w:val="18"/>
          <w:color w:val="231F20"/>
        </w:rPr>
        <w:t>Our authorized capital stock consists of 500,000,000 shares of common stock, $0.0001 par value per share, and 50,000,000 shares of undesignated preferred stock, $0.0001 par value per share.</w:t>
      </w:r>
    </w:p>
    <w:p>
      <w:pPr>
        <w:spacing w:after="0" w:line="148" w:lineRule="exact"/>
        <w:rPr>
          <w:sz w:val="20"/>
          <w:szCs w:val="20"/>
          <w:color w:val="auto"/>
        </w:rPr>
      </w:pPr>
    </w:p>
    <w:p>
      <w:pPr>
        <w:ind w:right="480" w:firstLine="416"/>
        <w:spacing w:after="0" w:line="282" w:lineRule="auto"/>
        <w:rPr>
          <w:sz w:val="20"/>
          <w:szCs w:val="20"/>
          <w:color w:val="auto"/>
        </w:rPr>
      </w:pPr>
      <w:r>
        <w:rPr>
          <w:rFonts w:ascii="Times New Roman" w:cs="Times New Roman" w:eastAsia="Times New Roman" w:hAnsi="Times New Roman"/>
          <w:sz w:val="18"/>
          <w:szCs w:val="18"/>
          <w:color w:val="231F20"/>
        </w:rPr>
        <w:t>Our board of directors is authorized, without stockholder approval except as required by the rules and listing standard of The Nasdaq Stock Market LLC, to issue additional shares of our capital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Dividend Rights</w:t>
      </w:r>
    </w:p>
    <w:p>
      <w:pPr>
        <w:spacing w:after="0" w:line="119" w:lineRule="exact"/>
        <w:rPr>
          <w:sz w:val="20"/>
          <w:szCs w:val="20"/>
          <w:color w:val="auto"/>
        </w:rPr>
      </w:pPr>
    </w:p>
    <w:p>
      <w:pPr>
        <w:ind w:right="480" w:firstLine="416"/>
        <w:spacing w:after="0" w:line="266" w:lineRule="auto"/>
        <w:rPr>
          <w:sz w:val="20"/>
          <w:szCs w:val="20"/>
          <w:color w:val="auto"/>
        </w:rPr>
      </w:pPr>
      <w:r>
        <w:rPr>
          <w:rFonts w:ascii="Times New Roman" w:cs="Times New Roman" w:eastAsia="Times New Roman" w:hAnsi="Times New Roman"/>
          <w:sz w:val="18"/>
          <w:szCs w:val="18"/>
          <w:color w:val="231F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Voting Rights</w:t>
      </w:r>
    </w:p>
    <w:p>
      <w:pPr>
        <w:spacing w:after="0" w:line="119" w:lineRule="exact"/>
        <w:rPr>
          <w:sz w:val="20"/>
          <w:szCs w:val="20"/>
          <w:color w:val="auto"/>
        </w:rPr>
      </w:pPr>
    </w:p>
    <w:p>
      <w:pPr>
        <w:ind w:right="480" w:firstLine="416"/>
        <w:spacing w:after="0" w:line="256" w:lineRule="auto"/>
        <w:rPr>
          <w:sz w:val="20"/>
          <w:szCs w:val="20"/>
          <w:color w:val="auto"/>
        </w:rPr>
      </w:pPr>
      <w:r>
        <w:rPr>
          <w:rFonts w:ascii="Times New Roman" w:cs="Times New Roman" w:eastAsia="Times New Roman" w:hAnsi="Times New Roman"/>
          <w:sz w:val="18"/>
          <w:szCs w:val="18"/>
          <w:color w:val="231F20"/>
        </w:rPr>
        <w:t>Holders of our common stock are entitled to one vote for each share held on all matters submitted to a vote of stockholders. Our Certificate of Incorporation does not provide for cumulative voting for the election of directors. Accordingly, holders of a plurality of the voting shares are able to elect all of the directors. In addition, the affirmative vote of holders of 66 2/3% of the voting power of all of the then outstanding capital stock entitled to vote generally in the election of directors, voting as a single class, will be required to take certain actions, including removing directors and amending certain provisions of our Certificate of Incorporation absent approval of our board of directors, including the provisions relating to amending our Bylaws, director and board matters, and director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 Preemptive or Similar Rights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common stock is not entitled to preemptive rights, and is not subject to conversion, redemption, or sinking fund provisions.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Right to Receive Liquidation Distributions</w:t>
      </w:r>
    </w:p>
    <w:p>
      <w:pPr>
        <w:spacing w:after="0" w:line="119" w:lineRule="exact"/>
        <w:rPr>
          <w:sz w:val="20"/>
          <w:szCs w:val="20"/>
          <w:color w:val="auto"/>
        </w:rPr>
      </w:pPr>
    </w:p>
    <w:p>
      <w:pPr>
        <w:ind w:right="580" w:firstLine="416"/>
        <w:spacing w:after="0" w:line="261" w:lineRule="auto"/>
        <w:rPr>
          <w:sz w:val="20"/>
          <w:szCs w:val="20"/>
          <w:color w:val="auto"/>
        </w:rPr>
      </w:pPr>
      <w:r>
        <w:rPr>
          <w:rFonts w:ascii="Times New Roman" w:cs="Times New Roman" w:eastAsia="Times New Roman" w:hAnsi="Times New Roman"/>
          <w:sz w:val="18"/>
          <w:szCs w:val="18"/>
          <w:color w:val="231F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Fully Paid and Non-Assessable</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All of the outstanding shares of our common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1059180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1238"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231F20"/>
        </w:rPr>
        <w:t>Preferred Stock</w:t>
      </w:r>
    </w:p>
    <w:p>
      <w:pPr>
        <w:spacing w:after="0" w:line="189"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231F20"/>
        </w:rPr>
        <w:t>Our board of directors is authorized, subject to limitations prescribed by Delaware law, to issue up to 50,000,000 preferred stock in one or more series,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As of December 31, 2025, we had 739,559 outstanding warrants to purchase shares of our common stock.</w:t>
      </w:r>
    </w:p>
    <w:p>
      <w:pPr>
        <w:spacing w:after="0" w:line="2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231F20"/>
        </w:rPr>
        <w:t>The warrants may be exercisable in whole or in part, at any time up to and including the first to occur of the consummation of a liquidation event and the fifth anniversary of the date of issue and thereafter shall terminate and be void. The warrants may be exercised either in cash or net issued.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Registration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Investors’ Rights Agreement</w:t>
      </w:r>
    </w:p>
    <w:p>
      <w:pPr>
        <w:spacing w:after="0" w:line="10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231F20"/>
        </w:rPr>
        <w:t>We are party to the Amended and Restated Investors’ Rights Agreement, or the A&amp;R Rights Agreement, which, among other things, grants certain rights to the holders of our then-outstanding redeemable convertible preferred stock, including certain registration rights with respect to the registrable securities held by them.</w:t>
      </w:r>
    </w:p>
    <w:p>
      <w:pPr>
        <w:spacing w:after="0" w:line="257"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231F20"/>
        </w:rPr>
        <w:t>The holders of an aggregate of 29,855,741 shares of our common stock are entitled to these demand, piggyback and Form S-3 registration rights pursuant to the A&amp;R Rights Agreement. We will pay the registration expenses, other than the underwriting discounts and selling commissions, of the shares registered pursuant to the demand, piggyback and Form S-3 registrations described below.</w:t>
      </w:r>
    </w:p>
    <w:p>
      <w:pPr>
        <w:spacing w:after="0" w:line="189"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231F20"/>
        </w:rPr>
        <w:t>Generally, in an underwritten offering, the managing underwriter, if any, has the right, subject to specified conditions, to limit the number of shares the holders may include. The demand, piggyback and Form S-3 registration rights described below will expire no later than (i) four years after the completion of our initial public offering, (ii) the closing of a liquidation event pursuant to which all proceeds received by such holder are cash or immediately freely tradeable equity securities or pursuant to which holders receive substantially similar registration rights, or (iii) with respect to any particular holder, at such time that such holder can sell its shares under Rule 144 under the Securities Act of 1933, as amended, or the Securities Act, without limitation during any 90-day period.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Demand Registration Rights</w:t>
      </w:r>
    </w:p>
    <w:p>
      <w:pPr>
        <w:spacing w:after="0" w:line="133"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231F20"/>
        </w:rPr>
        <w:t>Pursuant to the terms of the A&amp;R Rights Agreement, the parties thereto will be entitled to certain demand registration rights. At any time beginning after the earlier of (i) four years after the date of the A&amp;R Rights Agreement and (ii) six months after the completion of our initial public offering, the holders of not less than 30% of the registrable securities then outstanding may request that we register all or a portion of their shares by filing a registration statement on Form S-1. Such request for registration must cover at least 20% of the registrable securities then outstanding with anticipated aggregate proceeds of at least $30.0 million (or if all registrable securities proposed to be sold constitute common stock, then with anticipated aggregate proceeds of at least $5.0 million). If at any time while we are eligible to use a registration statement on Form S-3, holders of the registrable securities then outstanding can make a request that we register their shares on Form S-3 if such holders hold registrable securities in an anticipated aggregate price to the public of at least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866140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40" w:top="1238" w:right="699" w:bottom="1440" w:gutter="0" w:footer="0" w:header="0"/>
        </w:sectPr>
      </w:pPr>
    </w:p>
    <w:bookmarkStart w:id="250" w:name="page251"/>
    <w:bookmarkEnd w:id="250"/>
    <w:p>
      <w:pPr>
        <w:spacing w:after="0" w:line="18"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231F20"/>
        </w:rPr>
        <w:t xml:space="preserve">We will not be required to effect a registration on Form S-1 (i) during the period beginning 30 days prior to our good faith estimate of the planned filing date of a registration initiated by us until 90 days after the effective date of such registration (or 180 days in the case of an initial public offering) or ending on the subsequent date on which all market stand-off agreements applicable to our initial public offering have terminated, not to exceed an additional 34 days, (ii) after having effected two registrations on Form S-1, or (iii) if the holders propose to dispose shares that can be immediately registered on a registration statement on Form S-3. Similarly, we will not be required to effect a registration statement on Form S-3 (i) during the period beginning 30 days prior to our good faith estimate of the planned filing date of a registration initiated by us until 90 days after the effective date of such registration (or 180 days in the case of an initial public offering) or ending on the subsequent date on which all market stand-off agreements applicable to the offering have terminated, not to exceed an additional 34 days, or (ii) </w:t>
      </w:r>
      <w:r>
        <w:rPr>
          <w:rFonts w:ascii="Times New Roman" w:cs="Times New Roman" w:eastAsia="Times New Roman" w:hAnsi="Times New Roman"/>
          <w:sz w:val="18"/>
          <w:szCs w:val="18"/>
          <w:color w:val="000000"/>
        </w:rPr>
        <w:t>after having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effected two registrations on Form S-3 within a 12-month period immediately preceding the request.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Piggyback Registration Rights</w:t>
      </w:r>
    </w:p>
    <w:p>
      <w:pPr>
        <w:spacing w:after="0" w:line="133"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231F20"/>
        </w:rPr>
        <w:t xml:space="preserve">In the event that we propose to register any of our securities under the Securities Act, either for our own account or for the account of other security holders, certain holders of registrable securities will be entitled to piggyback registration rights pursuant to the A&amp;R Rights Agreement allowing such holders to include their shares in such registration, subject to certain marketing and other limitations. As a result, whenever we propose to file a registration statement under the Securities Act, other than with respect to: (i) a demand registration pursuant to the A&amp;R Rights Agreement, (ii) the registration relating solely to employee benefit plans, (iii) </w:t>
      </w:r>
      <w:r>
        <w:rPr>
          <w:rFonts w:ascii="Times New Roman" w:cs="Times New Roman" w:eastAsia="Times New Roman" w:hAnsi="Times New Roman"/>
          <w:sz w:val="18"/>
          <w:szCs w:val="18"/>
          <w:color w:val="000000"/>
        </w:rPr>
        <w:t>the registration relating to the offer and sale of debt securities only,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or (iv) the registration of securities relating to a SEC Rule 145 transaction, then holders of these shares are entitled to notice of the registration and </w:t>
      </w:r>
      <w:r>
        <w:rPr>
          <w:rFonts w:ascii="Times New Roman" w:cs="Times New Roman" w:eastAsia="Times New Roman" w:hAnsi="Times New Roman"/>
          <w:sz w:val="18"/>
          <w:szCs w:val="18"/>
          <w:color w:val="231F20"/>
        </w:rPr>
        <w:t>have the right to request us to use best efforts to include their shares in the registration (and any related qualification under blue sky laws or other compliance), subject to limitations that the underwriters may impose on the number of shares included in the offering.</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Election and Removal of Directors; Vacancies</w:t>
      </w:r>
    </w:p>
    <w:p>
      <w:pPr>
        <w:spacing w:after="0" w:line="135" w:lineRule="exact"/>
        <w:rPr>
          <w:sz w:val="20"/>
          <w:szCs w:val="20"/>
          <w:color w:val="auto"/>
        </w:rPr>
      </w:pPr>
    </w:p>
    <w:p>
      <w:pPr>
        <w:jc w:val="both"/>
        <w:ind w:right="260" w:firstLine="416"/>
        <w:spacing w:after="0" w:line="312" w:lineRule="auto"/>
        <w:rPr>
          <w:sz w:val="20"/>
          <w:szCs w:val="20"/>
          <w:color w:val="auto"/>
        </w:rPr>
      </w:pPr>
      <w:r>
        <w:rPr>
          <w:rFonts w:ascii="Times New Roman" w:cs="Times New Roman" w:eastAsia="Times New Roman" w:hAnsi="Times New Roman"/>
          <w:sz w:val="17"/>
          <w:szCs w:val="17"/>
          <w:color w:val="231F20"/>
        </w:rPr>
        <w:t>The exact number of directors is fixed from time to time by resolution of our board of directors. Directors are elected by a plurality of the votes of the shares of our capital stock present in person or represented by proxy at the meeting and entitled to vote on the election of directors.</w:t>
      </w:r>
    </w:p>
    <w:p>
      <w:pPr>
        <w:spacing w:after="0" w:line="167"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231F20"/>
        </w:rPr>
        <w:t>Directors may be removed with or without cause, and only by an affirmative vote of the holders of at least 66 2/3% of the voting power of the then-outstanding shares of capital stock entitled to vote at an election of directors, voting as a single class.</w:t>
      </w:r>
    </w:p>
    <w:p>
      <w:pPr>
        <w:spacing w:after="0" w:line="189"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231F20"/>
        </w:rPr>
        <w:t>Any vacancy occurring on our board of directors and any newly created directorship may be filled only by majority vote of the remaining directors then in office, even if less than a quorum.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Staggered Board</w:t>
      </w:r>
    </w:p>
    <w:p>
      <w:pPr>
        <w:spacing w:after="0" w:line="13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231F20"/>
        </w:rPr>
        <w:t>Our board of directors is divided into three classes serving staggered three-year terms. Class I, Class II, and Class III directors will serve until our annual meetings of stockholders in 2027, 2028 and 2029,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1092835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40" w:top="1440" w:right="6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color w:val="231F20"/>
        </w:rPr>
        <w:t>Stockholder Meetings</w:t>
      </w:r>
    </w:p>
    <w:p>
      <w:pPr>
        <w:spacing w:after="0" w:line="135" w:lineRule="exact"/>
        <w:rPr>
          <w:sz w:val="20"/>
          <w:szCs w:val="20"/>
          <w:color w:val="auto"/>
        </w:rPr>
      </w:pPr>
    </w:p>
    <w:p>
      <w:pPr>
        <w:jc w:val="both"/>
        <w:ind w:right="200" w:firstLine="416"/>
        <w:spacing w:after="0" w:line="266" w:lineRule="auto"/>
        <w:rPr>
          <w:sz w:val="20"/>
          <w:szCs w:val="20"/>
          <w:color w:val="auto"/>
        </w:rPr>
      </w:pPr>
      <w:r>
        <w:rPr>
          <w:rFonts w:ascii="Times New Roman" w:cs="Times New Roman" w:eastAsia="Times New Roman" w:hAnsi="Times New Roman"/>
          <w:sz w:val="18"/>
          <w:szCs w:val="18"/>
          <w:color w:val="231F20"/>
        </w:rPr>
        <w:t>Our Certificate of Incorporation and our Bylaws provide that special meetings of our stockholders may be called only by the Chair of our board of directors, our Chief Executive Officer, or the board of directors. Our Certificate of Incorporation and our Bylaws specifically deny any power of any other person to call a special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Amendment of Certificate of Incorporation</w:t>
      </w:r>
    </w:p>
    <w:p>
      <w:pPr>
        <w:spacing w:after="0" w:line="135"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231F20"/>
        </w:rPr>
        <w:t>The provisions of our Certificate of Incorporation under Articles V, VI, VII, VIII, and IX may be amended only by the affirmative vote of holders of at least 66 2/3% of the then-outstanding shares of capital stock entitled to vote generally in the election of directors, voting as a single class. Notwithstanding the foregoing</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if our board of directors recommends that stockholders approve such amendment, such amendment will only require the affirmative vote of the holders of a majority of the voting power of our outstanding shares of capital stock.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Amendment of Bylaws</w:t>
      </w:r>
    </w:p>
    <w:p>
      <w:pPr>
        <w:spacing w:after="0" w:line="135"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231F20"/>
        </w:rPr>
        <w:t>The provisions of our Bylaws may be amended or repealed, and new bylaws may be adopted by (i) our board of directors, or (ii) our stockholders, with the affirmative vote of the holders of at least 66 2/3% of the voting power of our then-outstanding shares of capital stock entitled to vote generally in the election of directors, voting as a single class. Notwithstanding the foregoing</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if our board of directors recommends that stockholders approve such adoption, amendment, or repeal, such amendment will only require the affirmative vote of the holders of a majority of the voting power of our outstanding shares of capital stock entitled to vote generally in the election of directors, voting together as a single class.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Limitations on Stockholder Actions</w:t>
      </w:r>
    </w:p>
    <w:p>
      <w:pPr>
        <w:spacing w:after="0" w:line="135" w:lineRule="exact"/>
        <w:rPr>
          <w:sz w:val="20"/>
          <w:szCs w:val="20"/>
          <w:color w:val="auto"/>
        </w:rPr>
      </w:pPr>
    </w:p>
    <w:p>
      <w:pPr>
        <w:ind w:right="580" w:firstLine="416"/>
        <w:spacing w:after="0" w:line="282" w:lineRule="auto"/>
        <w:rPr>
          <w:sz w:val="20"/>
          <w:szCs w:val="20"/>
          <w:color w:val="auto"/>
        </w:rPr>
      </w:pPr>
      <w:r>
        <w:rPr>
          <w:rFonts w:ascii="Times New Roman" w:cs="Times New Roman" w:eastAsia="Times New Roman" w:hAnsi="Times New Roman"/>
          <w:sz w:val="18"/>
          <w:szCs w:val="18"/>
          <w:color w:val="231F20"/>
        </w:rPr>
        <w:t>Our Bylaws impose some procedural requirements on stockholders who wish to bring business before a meeting of our stockholders, including proposed nominations of persons for election to our board of directors.</w:t>
      </w:r>
    </w:p>
    <w:p>
      <w:pPr>
        <w:spacing w:after="0" w:line="175"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231F20"/>
        </w:rPr>
        <w:t>Under these procedural requirements, in order to bring a proposal before a meeting of stockholders, a stockholder must deliver timely notice of a proposal pertaining to a proper subject for presentation at the meeting to our corporate secretary and provide us additional information regarding the proponents of such proposal and the proposal itself, including:</w:t>
      </w:r>
    </w:p>
    <w:p>
      <w:pPr>
        <w:spacing w:after="0" w:line="81" w:lineRule="exact"/>
        <w:rPr>
          <w:sz w:val="20"/>
          <w:szCs w:val="20"/>
          <w:color w:val="auto"/>
        </w:rPr>
      </w:pPr>
    </w:p>
    <w:p>
      <w:pPr>
        <w:ind w:left="820" w:right="200" w:hanging="309"/>
        <w:spacing w:after="0" w:line="282" w:lineRule="auto"/>
        <w:tabs>
          <w:tab w:leader="none" w:pos="82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description of the business or nomination to be brought before the meeting, the text of the proposal or business, and the reasons for conducting such business at the meeting;</w:t>
      </w:r>
    </w:p>
    <w:p>
      <w:pPr>
        <w:spacing w:after="0" w:line="53" w:lineRule="exact"/>
        <w:rPr>
          <w:rFonts w:ascii="Times New Roman" w:cs="Times New Roman" w:eastAsia="Times New Roman" w:hAnsi="Times New Roman"/>
          <w:sz w:val="18"/>
          <w:szCs w:val="18"/>
          <w:color w:val="231F20"/>
        </w:rPr>
      </w:pPr>
    </w:p>
    <w:p>
      <w:pPr>
        <w:ind w:left="820" w:hanging="309"/>
        <w:spacing w:after="0"/>
        <w:tabs>
          <w:tab w:leader="none" w:pos="82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stockholder’s name and address;</w:t>
      </w:r>
    </w:p>
    <w:p>
      <w:pPr>
        <w:spacing w:after="0" w:line="130" w:lineRule="exact"/>
        <w:rPr>
          <w:rFonts w:ascii="Times New Roman" w:cs="Times New Roman" w:eastAsia="Times New Roman" w:hAnsi="Times New Roman"/>
          <w:sz w:val="18"/>
          <w:szCs w:val="18"/>
          <w:color w:val="231F20"/>
        </w:rPr>
      </w:pPr>
    </w:p>
    <w:p>
      <w:pPr>
        <w:ind w:left="820" w:hanging="309"/>
        <w:spacing w:after="0"/>
        <w:tabs>
          <w:tab w:leader="none" w:pos="82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material interest of the stockholder in the proposal;</w:t>
      </w:r>
    </w:p>
    <w:p>
      <w:pPr>
        <w:spacing w:after="0" w:line="130" w:lineRule="exact"/>
        <w:rPr>
          <w:rFonts w:ascii="Times New Roman" w:cs="Times New Roman" w:eastAsia="Times New Roman" w:hAnsi="Times New Roman"/>
          <w:sz w:val="18"/>
          <w:szCs w:val="18"/>
          <w:color w:val="231F20"/>
        </w:rPr>
      </w:pPr>
    </w:p>
    <w:p>
      <w:pPr>
        <w:ind w:left="800" w:right="820" w:hanging="289"/>
        <w:spacing w:after="0" w:line="282" w:lineRule="auto"/>
        <w:tabs>
          <w:tab w:leader="none" w:pos="80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shares beneficially owned by the stockholder, the date or dates such shares were acquired, and the investment intent of such acquisition;</w:t>
      </w:r>
    </w:p>
    <w:p>
      <w:pPr>
        <w:spacing w:after="0" w:line="67" w:lineRule="exact"/>
        <w:rPr>
          <w:rFonts w:ascii="Times New Roman" w:cs="Times New Roman" w:eastAsia="Times New Roman" w:hAnsi="Times New Roman"/>
          <w:sz w:val="18"/>
          <w:szCs w:val="18"/>
          <w:color w:val="231F20"/>
        </w:rPr>
      </w:pPr>
    </w:p>
    <w:p>
      <w:pPr>
        <w:ind w:left="820" w:right="740" w:hanging="309"/>
        <w:spacing w:after="0" w:line="282" w:lineRule="auto"/>
        <w:tabs>
          <w:tab w:leader="none" w:pos="82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agreement, arrangement, or understanding that has been entered into by the stockholder the effect or intent of which is to mitigate loss, manage risk, or benefit from changes in the price of any our securities; and</w:t>
      </w:r>
    </w:p>
    <w:p>
      <w:pPr>
        <w:spacing w:after="0" w:line="53" w:lineRule="exact"/>
        <w:rPr>
          <w:rFonts w:ascii="Times New Roman" w:cs="Times New Roman" w:eastAsia="Times New Roman" w:hAnsi="Times New Roman"/>
          <w:sz w:val="18"/>
          <w:szCs w:val="18"/>
          <w:color w:val="231F20"/>
        </w:rPr>
      </w:pPr>
    </w:p>
    <w:p>
      <w:pPr>
        <w:ind w:left="800" w:right="360" w:hanging="289"/>
        <w:spacing w:after="0" w:line="282" w:lineRule="auto"/>
        <w:tabs>
          <w:tab w:leader="none" w:pos="80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proxy, agreement, arrangement, understanding, or relationship pursuant to which the stockholder or an affiliate has or shares a right to vote any shares of any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1001395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40" w:top="1238" w:right="699" w:bottom="1440" w:gutter="0" w:footer="0" w:header="0"/>
        </w:sectPr>
      </w:pPr>
    </w:p>
    <w:bookmarkStart w:id="252" w:name="page253"/>
    <w:bookmarkEnd w:id="252"/>
    <w:p>
      <w:pPr>
        <w:ind w:left="420"/>
        <w:spacing w:after="0"/>
        <w:rPr>
          <w:sz w:val="20"/>
          <w:szCs w:val="20"/>
          <w:color w:val="auto"/>
        </w:rPr>
      </w:pPr>
      <w:r>
        <w:rPr>
          <w:rFonts w:ascii="Times New Roman" w:cs="Times New Roman" w:eastAsia="Times New Roman" w:hAnsi="Times New Roman"/>
          <w:sz w:val="18"/>
          <w:szCs w:val="18"/>
          <w:color w:val="231F20"/>
        </w:rPr>
        <w:t>To be timely, a stockholder must generally deliver notice:</w:t>
      </w:r>
    </w:p>
    <w:p>
      <w:pPr>
        <w:spacing w:after="0" w:line="131" w:lineRule="exact"/>
        <w:rPr>
          <w:sz w:val="20"/>
          <w:szCs w:val="20"/>
          <w:color w:val="auto"/>
        </w:rPr>
      </w:pPr>
    </w:p>
    <w:p>
      <w:pPr>
        <w:ind w:left="820" w:right="180" w:hanging="309"/>
        <w:spacing w:after="0" w:line="255" w:lineRule="auto"/>
        <w:tabs>
          <w:tab w:leader="none" w:pos="82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connection with an annual meeting of stockholders, not later than the close of business on the 90th day nor earlier than the opening of business on the 120th day before the anniversary date of the immediately preceding annual meeting of stockholders, but in the event that the date of the annual meeting is more than 30 days before or more than 60 days after the anniversary date of the preceding annual meeting of stockholders or we did not have an annual meeting in the preceding year, a stockholder notice will be timely if received by us not earlier than the opening of business on the 120th day prior to the date of the annual meeting and not later than (i) the close of business on the 90th day prior to such annual meeting, or (ii) if later, the close of business on the tenth day following the day on which we first publicly announce the date of the annual meeting; or</w:t>
      </w:r>
    </w:p>
    <w:p>
      <w:pPr>
        <w:spacing w:after="0" w:line="80" w:lineRule="exact"/>
        <w:rPr>
          <w:rFonts w:ascii="Times New Roman" w:cs="Times New Roman" w:eastAsia="Times New Roman" w:hAnsi="Times New Roman"/>
          <w:sz w:val="18"/>
          <w:szCs w:val="18"/>
          <w:color w:val="231F20"/>
        </w:rPr>
      </w:pPr>
    </w:p>
    <w:p>
      <w:pPr>
        <w:ind w:left="800" w:right="1100" w:hanging="289"/>
        <w:spacing w:after="0" w:line="282" w:lineRule="auto"/>
        <w:tabs>
          <w:tab w:leader="none" w:pos="80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connection with the election of a director at a special meeting of stockholders, the tenth day following the day on which public disclosure of such special meeting was first made.</w:t>
      </w:r>
    </w:p>
    <w:p>
      <w:pPr>
        <w:spacing w:after="0" w:line="189"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231F20"/>
        </w:rPr>
        <w:t>In order to submit a nomination for our board of directors or bring another proposal before a meeting of stockholders, a stockholder must also submit all information with respect to the nominee or the proposal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 of Liability of Directors and Officers</w:t>
      </w:r>
    </w:p>
    <w:p>
      <w:pPr>
        <w:spacing w:after="0" w:line="135"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231F20"/>
        </w:rPr>
        <w:t>Our Certificate of Incorporation provides that, to the fullest extent permitted by the Delaware General Corporation Law, or the DGCL, we will indemnify any officer or director of our company against all monetary damages for breach of fiduciary duty as a director or an officer, as applicable.</w:t>
      </w:r>
    </w:p>
    <w:p>
      <w:pPr>
        <w:spacing w:after="0" w:line="189" w:lineRule="exact"/>
        <w:rPr>
          <w:sz w:val="20"/>
          <w:szCs w:val="20"/>
          <w:color w:val="auto"/>
        </w:rPr>
      </w:pPr>
    </w:p>
    <w:p>
      <w:pPr>
        <w:ind w:right="240" w:firstLine="416"/>
        <w:spacing w:after="0" w:line="281" w:lineRule="auto"/>
        <w:rPr>
          <w:sz w:val="20"/>
          <w:szCs w:val="20"/>
          <w:color w:val="auto"/>
        </w:rPr>
      </w:pPr>
      <w:r>
        <w:rPr>
          <w:rFonts w:ascii="Times New Roman" w:cs="Times New Roman" w:eastAsia="Times New Roman" w:hAnsi="Times New Roman"/>
          <w:sz w:val="18"/>
          <w:szCs w:val="18"/>
          <w:color w:val="231F20"/>
        </w:rPr>
        <w:t>In addition, our Certificate of Incorporation contains provisions that limit the liability of our directors and officers for monetary damages to the fullest extent permitted by law. As a result, neither we, nor our</w:t>
      </w:r>
    </w:p>
    <w:p>
      <w:pPr>
        <w:spacing w:after="0" w:line="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231F20"/>
        </w:rPr>
        <w:t>stockholders through stockholders’ derivative suits on our behalf, have the right to recover monetary damages against a director or officer for breach of fiduciary duty as a director or officer, including breaches resulting from grossly negligent behavior, except to the extent required by law.</w:t>
      </w:r>
    </w:p>
    <w:p>
      <w:pPr>
        <w:spacing w:after="0" w:line="176" w:lineRule="exact"/>
        <w:rPr>
          <w:sz w:val="20"/>
          <w:szCs w:val="20"/>
          <w:color w:val="auto"/>
        </w:rPr>
      </w:pPr>
    </w:p>
    <w:p>
      <w:pPr>
        <w:ind w:right="740" w:firstLine="416"/>
        <w:spacing w:after="0" w:line="282" w:lineRule="auto"/>
        <w:rPr>
          <w:sz w:val="20"/>
          <w:szCs w:val="20"/>
          <w:color w:val="auto"/>
        </w:rPr>
      </w:pPr>
      <w:r>
        <w:rPr>
          <w:rFonts w:ascii="Times New Roman" w:cs="Times New Roman" w:eastAsia="Times New Roman" w:hAnsi="Times New Roman"/>
          <w:sz w:val="18"/>
          <w:szCs w:val="18"/>
          <w:color w:val="231F20"/>
        </w:rPr>
        <w:t>Amending the foregoing provisions will not reduce our indemnification obligations relating to, or the exculpation of our officers and directors for, actions taken before an amendment.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Forum Selection</w:t>
      </w:r>
    </w:p>
    <w:p>
      <w:pPr>
        <w:spacing w:after="0" w:line="121" w:lineRule="exact"/>
        <w:rPr>
          <w:sz w:val="20"/>
          <w:szCs w:val="20"/>
          <w:color w:val="auto"/>
        </w:rPr>
      </w:pPr>
    </w:p>
    <w:p>
      <w:pPr>
        <w:ind w:right="140" w:firstLine="416"/>
        <w:spacing w:after="0" w:line="254" w:lineRule="auto"/>
        <w:rPr>
          <w:sz w:val="20"/>
          <w:szCs w:val="20"/>
          <w:color w:val="auto"/>
        </w:rPr>
      </w:pPr>
      <w:r>
        <w:rPr>
          <w:rFonts w:ascii="Times New Roman" w:cs="Times New Roman" w:eastAsia="Times New Roman" w:hAnsi="Times New Roman"/>
          <w:sz w:val="18"/>
          <w:szCs w:val="18"/>
          <w:color w:val="231F20"/>
        </w:rPr>
        <w:t>Our Certificate of Incorporation requires, to the fullest extent permitted by law, that derivative actions brought in our name, actions against directors, officers, and employees for breach of fiduciary duty, arising pursuant to any provision of the DGCL,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1080770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640" w:top="1242" w:right="5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color w:val="231F20"/>
        </w:rPr>
        <w:t>Anti-Takeover Provisions</w:t>
      </w:r>
    </w:p>
    <w:p>
      <w:pPr>
        <w:spacing w:after="0" w:line="121"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231F20"/>
        </w:rPr>
        <w:t>Certain provisions of Delaware law, along with our Certificate of Incorporation and our Bylaws, may have the effect of delaying, deferring, or discouraging (i) acquiring control of our company by means of a proxy contest, tender offer, or otherwise, or (ii) removing our incumbent officers and directors. These provisions, as well as our ability to issue preferred stock,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Delaware Law</w:t>
      </w:r>
    </w:p>
    <w:p>
      <w:pPr>
        <w:spacing w:after="0" w:line="121" w:lineRule="exact"/>
        <w:rPr>
          <w:sz w:val="20"/>
          <w:szCs w:val="20"/>
          <w:color w:val="auto"/>
        </w:rPr>
      </w:pPr>
    </w:p>
    <w:p>
      <w:pPr>
        <w:ind w:right="200" w:firstLine="416"/>
        <w:spacing w:after="0" w:line="256" w:lineRule="auto"/>
        <w:rPr>
          <w:sz w:val="20"/>
          <w:szCs w:val="20"/>
          <w:color w:val="auto"/>
        </w:rPr>
      </w:pPr>
      <w:r>
        <w:rPr>
          <w:rFonts w:ascii="Times New Roman" w:cs="Times New Roman" w:eastAsia="Times New Roman" w:hAnsi="Times New Roman"/>
          <w:sz w:val="18"/>
          <w:szCs w:val="18"/>
          <w:color w:val="231F20"/>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Transfer Agent and Registrar</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231F20"/>
        </w:rPr>
        <w:t>The transfer agent and registrar for our common stock is Computershare Trust Company, N.A. The transfer agent and registrar’s address is 150 Royall Street, Canton, MA 02021.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common stock is listed on the Nasdaq Global Select Market under the symbol “EIKN.”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887730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640" w:top="1238" w:right="5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EIKON THERAPEUTICS, INC.</w:t>
      </w:r>
    </w:p>
    <w:p>
      <w:pPr>
        <w:spacing w:after="0" w:line="1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2026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677545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32"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86"/>
        </w:trPr>
        <w:tc>
          <w:tcPr>
            <w:tcW w:w="540" w:type="dxa"/>
            <w:vAlign w:val="bottom"/>
          </w:tcPr>
          <w:p>
            <w:pPr>
              <w:spacing w:after="0"/>
              <w:rPr>
                <w:sz w:val="24"/>
                <w:szCs w:val="24"/>
                <w:color w:val="auto"/>
              </w:rPr>
            </w:pPr>
          </w:p>
        </w:tc>
        <w:tc>
          <w:tcPr>
            <w:tcW w:w="8380" w:type="dxa"/>
            <w:vAlign w:val="bottom"/>
          </w:tcPr>
          <w:p>
            <w:pPr>
              <w:ind w:left="39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320" w:type="dxa"/>
            <w:vAlign w:val="bottom"/>
          </w:tcPr>
          <w:p>
            <w:pPr>
              <w:spacing w:after="0"/>
              <w:rPr>
                <w:sz w:val="24"/>
                <w:szCs w:val="24"/>
                <w:color w:val="auto"/>
              </w:rPr>
            </w:pPr>
          </w:p>
        </w:tc>
      </w:tr>
      <w:tr>
        <w:trPr>
          <w:trHeight w:val="31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Purposes of the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3.</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Stock Subject to the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4.</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Administration of the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5.</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Eligibility for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6.</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Types and Terms of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7.</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Options and SARs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8.</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Restricted Stock, Restricted Stock Units, and Unrestricted Stock</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9.</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Performance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10.</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Other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11.</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General Provisions Applicable to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12.</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Conditions Upon Issuance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13.</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Adjustments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14.</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Corporate Transactions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15.</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Dissolution or Liquidation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16.</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Effective Date and Term of Plan; Stockholder Approval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17.</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Amendment, Suspension, or Termination of the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18.</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No Employment or Services Rights; Other Compensation and Benefits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19.</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Section 409A</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20.</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Unfunded Status of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21.</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Electronic Signatures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22.</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Clawback</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23.</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Construction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24.</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25.</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Governing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26.</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0000FF"/>
              </w:rPr>
              <w:t>Beneficiaries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1802"/>
        </w:trPr>
        <w:tc>
          <w:tcPr>
            <w:tcW w:w="5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56" w:name="page257"/>
    <w:bookmarkEnd w:id="256"/>
    <w:p>
      <w:pPr>
        <w:ind w:left="440" w:hanging="432"/>
        <w:spacing w:after="0"/>
        <w:tabs>
          <w:tab w:leader="none" w:pos="4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Purposes of the Plan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purposes of this Plan are to attract and retain the best available personnel; to incentivize service providers; to promote the success of the business of Eikon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of its Subsidiaries (as defined below); and to strengthen the mutuality of interest between eligible service providers and stockholders of the Company.</w:t>
      </w:r>
    </w:p>
    <w:p>
      <w:pPr>
        <w:spacing w:after="0" w:line="169"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For purposes of the Plan, capitalized terms have the meaning provided below, or, if not provided below, as defined elsewhere in the Plan or an Award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have the meaning set forth in Section 4(d) (Appointment of Committees).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 award described in Section 6 (Types and Terms of Awards).</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evidencing the grant of an Award, including any amendments and attachments thereto.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with respect to the termination of Continuous Service, (a) the term “Cause” that is expressly defined in an Executive Employment Agreement entered into after January 8, 2026; or (b) for non-executive Grantees, “Cause” shall mean</w:t>
      </w:r>
    </w:p>
    <w:p>
      <w:pPr>
        <w:spacing w:after="0" w:line="1" w:lineRule="exact"/>
        <w:rPr>
          <w:sz w:val="20"/>
          <w:szCs w:val="20"/>
          <w:color w:val="auto"/>
        </w:rPr>
      </w:pPr>
    </w:p>
    <w:p>
      <w:pPr>
        <w:jc w:val="both"/>
        <w:ind w:firstLine="8"/>
        <w:spacing w:after="0" w:line="231" w:lineRule="auto"/>
        <w:tabs>
          <w:tab w:leader="none" w:pos="28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willful, material violation by the Grantee of any law or regulation applicable to the business of the Company (or any successor, Subsidiary, Parent or affiliate of the Company), (ii) the Grantee’s conviction for, or guilty or nolo contendere plea to, any felony or any willful perpetration by the Grantee of a common law fraud, (iii) the Grantee’s commission of an act of personal dishonesty which involves personal profit in connection with the Company (or any successor, Subsidiary, Parent or affiliate of the Company) or any other entity having a material business relationship with the Company, (iv) a repeated pattern of unexcused absences that causes substantial failure by the Grantee to perform the material duties as a Director, officer, Employee or Consultant of the Company, (v) any continued failure or refusal by the Grantee to perform the material, lawful, duties required of the Grantee in his or her capacity as a Director, officer, Employee or Consultant of the Company (or any successor, Subsidiary, Parent or affiliate of the Company if the Grantee is then primarily employed by such entity) after written notice or (vi) a material breach of any applicable invention assignment and/or confidentiality agreement or similar agreement that materially damages the Company (or any successor, Subsidiary, Parent or affiliate of the Company). The determination as to whether a Grantee has been terminated for Cause shall be made in good faith by the Administrator and shall be final and binding on the Grantee. The foregoing definition does not in any way limit the Company’s ability to terminate a Grantee’s employment or consulting relationship at any time and the term “Company” will be interpreted to include any Subsidiary, Parent, affiliate, or any successor thereto, if appropriate.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any committee of the Board that is composed of at least two non-employee directors of the Board.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tc>
        <w:tc>
          <w:tcPr>
            <w:tcW w:w="592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w:t>
            </w:r>
          </w:p>
        </w:tc>
      </w:tr>
      <w:tr>
        <w:trPr>
          <w:trHeight w:val="1008"/>
        </w:trPr>
        <w:tc>
          <w:tcPr>
            <w:tcW w:w="53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57" w:name="page258"/>
    <w:bookmarkEnd w:id="25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Eikon Therapeutics, Inc., a Delaware corporation, or any successor entity.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means any person other than an Employee or a Director (solely with respect to rendering services in such person’s capacity as a Director) who is engaged by the Company or any Subsidiary or Parent to render consulting or advisory services to the Company or such Subsidiary or Parent;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services are not in connection with the offer or sale of securities in a capital-raising transaction and do not directly or indirectly promote or maintain a market for the Company’s securities. Notwithstanding the foregoing, a person shall be treated as a Consultant under this Plan only if a Form S-8 Registration Statement under the Securities Act is available to register either the offer or the sale of the Company’s securities to such person.</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means, except as otherwise provided in a Grantee’s service agreement with the Company or a Subsidiary or Parent, the uninterrupted provision of services to the Company or a Parent or Subsidiary in any capacity of Employee, Director, Consultant, or other service provider. Continuous Service shall not be considered to be interrupted in the case of (i) for an Employee, any approved leave of absence; (ii) for an Employee, Director, Consultant or any other service provider, transfers among the Company, any Parent or Subsidiary, or any successor entities; or (iii) except as otherwise provided in the Award Agreement or determined by the Administrator at the time of such change in status, any change in status as long as the individual remains in the service of the Company or a Parent or Subsidiary in any capacity of Employee, Director, Consultant, or other service provider. An approved leave of absence shall include sick leave, military leave, or any other authorized personal leave. If the Grantee does not return from an approved leave of absence, Continuous Service shall terminate as of the end of the approved leave of absence. Notwithstanding the foregoing, unless otherwise provided by the Administrator or required by law, (a) a leave of absence that exceeds three (3) months shall not be treated as Continuous Service; and (b) vesting shall be tolled for a Grantee on inactive status.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related transactions in which any person (within the meaning of section 13(d)(3) or 14(d)(2) of the Exchange Act), other than any person who prior to such transaction or series of related transactions owns more than a majority of the Company’s Common Stock, becomes the beneficial owner (within the meaning of Rule 13d-3 promulgated under the Exchange Act) of more than 50% of the combined voting power of the then outstanding voting securities of the Company; unless the stockholders of the Company immediately before such transaction or series of related transactions own, directly or indirectly, a majority of the combined voting power of the outstanding voting securities of the corporation or other entity resulting from such transaction or series of related transactions;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consolidation or merger of the Company with or into another entity or a similar transaction involving the Company, unless the stockholders of the Company immediately before such consolidation, merger, or other transaction own, directly or indirectly, a majority of the combined voting power of the outstanding voting securities of the corporation or other entity resulting from such consolidation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58" w:name="page259"/>
    <w:bookmarkEnd w:id="258"/>
    <w:p>
      <w:pPr>
        <w:jc w:val="both"/>
        <w:ind w:left="760" w:firstLine="745"/>
        <w:spacing w:after="0" w:line="238"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are members of the Board on the date the Plan is approved by the Board (the “</w:t>
      </w:r>
      <w:r>
        <w:rPr>
          <w:rFonts w:ascii="Times New Roman" w:cs="Times New Roman" w:eastAsia="Times New Roman" w:hAnsi="Times New Roman"/>
          <w:sz w:val="22"/>
          <w:szCs w:val="22"/>
          <w:u w:val="single" w:color="auto"/>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ceasing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exclusive license, or other disposition of all or substantially all, as determined by the Board, of the consolidated assets of the Company, other than to an entity of which the stockholders of the Company immediately before such sale, lease, exclusive license, or other disposition own, directly or indirectly, a majority of the combined voting power of the outstanding voting securities in substantially the same proportions as their ownership of the outstanding voting securities of the Company immediately prior to such sale, lease, license, or other disposition; or</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dissolution, or winding up of the Company.</w:t>
      </w:r>
    </w:p>
    <w:p>
      <w:pPr>
        <w:spacing w:after="0" w:line="20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For the avoidance of doubt, a transaction will not constitute a Corporate Transaction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to the extent necessary to avoid adverse tax consequences under section 409A of the Code, a transaction will not be deemed a Corporate Transaction unless the transaction qualifies as a change in control event within the meaning of section 409A of the Code.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 or the board of directors of any Subsidiary.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means, with respect to a Grantee, the inability of such Grantee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w:t>
      </w:r>
    </w:p>
    <w:p>
      <w:pPr>
        <w:spacing w:after="0" w:line="1" w:lineRule="exact"/>
        <w:rPr>
          <w:sz w:val="20"/>
          <w:szCs w:val="20"/>
          <w:color w:val="auto"/>
        </w:rPr>
      </w:pPr>
    </w:p>
    <w:p>
      <w:pPr>
        <w:ind w:right="20" w:firstLine="8"/>
        <w:spacing w:after="0" w:line="237" w:lineRule="auto"/>
        <w:tabs>
          <w:tab w:leader="none" w:pos="3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409A(a)(2)(c)(i) of the Code, and will be determined by the Administrator on the basis of such medical evidence as the Administrator deems warranted under the circumstances.</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employed by the Company or any Subsidiary (including an Officer or a Director who is also an Employee).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206" w:lineRule="exact"/>
        <w:rPr>
          <w:sz w:val="20"/>
          <w:szCs w:val="20"/>
          <w:color w:val="auto"/>
        </w:rPr>
      </w:pPr>
    </w:p>
    <w:p>
      <w:pPr>
        <w:jc w:val="both"/>
        <w:ind w:left="760" w:firstLine="745"/>
        <w:spacing w:after="0" w:line="239"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listed on one or more established stock exchanges or national market systems, including The Nasdaq Global Select Market, The Nasdaq Global Market or The Nasdaq Capital Market of The Nasdaq Stock Market LLC, its Fair Market Value shall be the closing sales price for such stock (or the closing bid, if no sales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59" w:name="page260"/>
    <w:bookmarkEnd w:id="259"/>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reported) on the date of determination (or, if no closing sales price or closing bid was reported on that date, as applicable, on the last trading date such closing sales price or closing bid was reported), as reported on the principal exchange or system on which the Common Stock is listed (as determined by the Administrator);</w:t>
      </w:r>
    </w:p>
    <w:p>
      <w:pPr>
        <w:spacing w:after="0" w:line="173" w:lineRule="exact"/>
        <w:rPr>
          <w:sz w:val="20"/>
          <w:szCs w:val="20"/>
          <w:color w:val="auto"/>
        </w:rPr>
      </w:pPr>
    </w:p>
    <w:p>
      <w:pPr>
        <w:jc w:val="both"/>
        <w:ind w:left="760" w:firstLine="745"/>
        <w:spacing w:after="0" w:line="249" w:lineRule="auto"/>
        <w:tabs>
          <w:tab w:leader="none" w:pos="194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determined by the Board using any measure of value that the Board determines to be appropriate (including as it considers appropriate, relying on appraisals) in a manner consistent with the valuation principles under sections 409A and 422 of the Code, except as the Board may expressly determine otherwise.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an individual who holds an Award.</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intended to qualify as an incentive stock option within the meaning of section 422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Stock Option</w:t>
      </w:r>
      <w:r>
        <w:rPr>
          <w:rFonts w:ascii="Times New Roman" w:cs="Times New Roman" w:eastAsia="Times New Roman" w:hAnsi="Times New Roman"/>
          <w:sz w:val="22"/>
          <w:szCs w:val="22"/>
          <w:color w:val="auto"/>
        </w:rPr>
        <w:t>” means an Option that fails to qualify or is not intended to qualify as an Incentive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 option to purchase Shares.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of the Company, whether now or hereafter existing, as defined in section 424(e)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means the Awards granted under Section 9 (Performance Awards).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means the performance goals established in connection with the grant of Performance Awards.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a period of consecutive fiscal years, or portions thereof, over which Performance Awards are to be earned.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Eikon Therapeutics, Inc. 2026 Long-Term Incentive Plan, as may be amended or restated from time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Plan</w:t>
      </w:r>
      <w:r>
        <w:rPr>
          <w:rFonts w:ascii="Times New Roman" w:cs="Times New Roman" w:eastAsia="Times New Roman" w:hAnsi="Times New Roman"/>
          <w:sz w:val="22"/>
          <w:szCs w:val="22"/>
          <w:color w:val="auto"/>
        </w:rPr>
        <w:t>” means the Eikon Therapeutics, Inc. 2019 Equity Incentive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0" w:name="page261"/>
    <w:bookmarkEnd w:id="260"/>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Plan Award</w:t>
      </w:r>
      <w:r>
        <w:rPr>
          <w:rFonts w:ascii="Times New Roman" w:cs="Times New Roman" w:eastAsia="Times New Roman" w:hAnsi="Times New Roman"/>
          <w:sz w:val="22"/>
          <w:szCs w:val="22"/>
          <w:color w:val="auto"/>
        </w:rPr>
        <w:t>” means an award outstanding under the Prior Plan as of the Plan’s effective date in Section 16(a) and the stock option awards granted to the Company’s Chief Executive Officer on April 2, 2025.</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Trading Date</w:t>
      </w:r>
      <w:r>
        <w:rPr>
          <w:rFonts w:ascii="Times New Roman" w:cs="Times New Roman" w:eastAsia="Times New Roman" w:hAnsi="Times New Roman"/>
          <w:sz w:val="22"/>
          <w:szCs w:val="22"/>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 Reg. § 1.162-27(c)(1).</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under the Plan subject to restrictions determined by the Administrator and set forth in the applicable Award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an Award based on the value of Common Stock that is an unfunded and unsecured promise to deliver Shares, cash, or other property upon the attainment of specified vesting or performance conditions as determined by the Administrator and set forth in the applicable Award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means a stock appreciation right entitling the Grantee to Shares, other property, or cash compensation, as determined by the Administrator and set forth in the applicable Award Agreement, measured by appreciation in the value of Common Stock.</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Sell-to-Cover</w:t>
      </w:r>
      <w:r>
        <w:rPr>
          <w:rFonts w:ascii="Times New Roman" w:cs="Times New Roman" w:eastAsia="Times New Roman" w:hAnsi="Times New Roman"/>
          <w:sz w:val="22"/>
          <w:szCs w:val="22"/>
          <w:color w:val="auto"/>
        </w:rPr>
        <w:t>” means a program approved by the Administrator in which payment of the Option exercise price or tax withholding obligations may be satisfied, in whole or in part, with Shares subject to the Option,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Company’s withholding obligations.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Common Stock.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shall have the meaning set forth in Section 3(a) (Reserved Shares).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of the Company, whether now or hereafter existing, as defined in section 424(f) of the Code.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Stock</w:t>
      </w:r>
      <w:r>
        <w:rPr>
          <w:rFonts w:ascii="Times New Roman" w:cs="Times New Roman" w:eastAsia="Times New Roman" w:hAnsi="Times New Roman"/>
          <w:sz w:val="22"/>
          <w:szCs w:val="22"/>
          <w:color w:val="auto"/>
        </w:rPr>
        <w:t>” means Shares issued under the Plan that are not subject to vesting, forfeiture, or similar restrictions pursuant to the applicable Award Agreement. For the sake of clarity, Shares that are only subject to restrictions on transfer, right of first refusal, market stand-off, and other similar restrictions shall not, by virtue of such restrictions, be deemed to be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1" w:name="page262"/>
    <w:bookmarkEnd w:id="261"/>
    <w:p>
      <w:pPr>
        <w:ind w:left="440" w:hanging="432"/>
        <w:spacing w:after="0"/>
        <w:tabs>
          <w:tab w:leader="none" w:pos="4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 Subject to the Plan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Reserved Shares</w:t>
      </w:r>
    </w:p>
    <w:p>
      <w:pPr>
        <w:spacing w:after="0" w:line="210"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color w:val="auto"/>
        </w:rPr>
        <w:t>Subject to the provisions of Section 13 (Adjustments) and Section 14 (Corporate Transactions), the maximum aggregate number of Shares reserved and available for grant and issuance pursuant to Awards under this Plan (the “</w:t>
      </w: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is the sum of 4,137,117 plus any shares of Common Stock which are subject to Prior Plan Awards which become available for issuance under the Plan pursuant to Section 3(b) (Shares Returned to Plan). In addition, subject to the provisions of Section 13 (Adjustments) and Section 14 (Corporate Transactions), the Share Reserve will automatically increase on January 1 of each year beginning on January 1, 2027, before the expiration of the Plan, by an amount equal to 5% of the total number of shares of the Company’s capital stock outstanding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preceding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Board may act prior to January 1st of a given year to provide that the increase for such year will be a lesser number of Shares. The Shares may be authorized, but unissued, or reacquired Common Stock. As of the Plan’s effective date under Section 16(a) (Effective Date and Term of Plan), the Company will cease granting awards under the Prior Plan; however, Prior Plan Awards will remain subject to the terms of the Prior Plan.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Shares Returned to Plan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Any Shares covered by an Award or Prior Plan Award (or portion of an Award or Prior Plan Award) that is forfeited, canceled, reacquired by the Company prior to vesting, expired (whether voluntarily or involuntarily), settled in cash or otherwise satisfied without the issuance of Shares, withheld upon exercise of an Option or settlement of an Award to cover the exercise price or tax withholding, surrendered pursuant to an exchange, or otherwise terminated (other than by exercise) shall, as applicable, become or again be available for grant and issuance under the Plan. If any Shares that actually have been issued pursuant to an Award or Prior Plan Award are forfeited back to or reacquired by the Company pursuant to the failure to meet a contingency or condition required to vest such shares in the Grantee, a right of first refusal, a forfeiture provision, or repurchase by the Company, then the Shares that are forfeited or reacquired will, as applicable, become or again be available for future grant and issuance under the Plan.</w:t>
      </w:r>
    </w:p>
    <w:p>
      <w:pPr>
        <w:spacing w:after="0" w:line="17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Incentive Stock Option Limit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Subject to the Share Reserve and the provisions of Section 13 (Adjustments) and Section 14 (Corporate Transactions), the maximum aggregate number of Shares which may be issued pursuant to the exercise of Incentive Stock Options will be 28,328,035 Shares (the “</w:t>
      </w:r>
      <w:r>
        <w:rPr>
          <w:rFonts w:ascii="Times New Roman" w:cs="Times New Roman" w:eastAsia="Times New Roman" w:hAnsi="Times New Roman"/>
          <w:sz w:val="22"/>
          <w:szCs w:val="22"/>
          <w:u w:val="single" w:color="auto"/>
          <w:color w:val="auto"/>
        </w:rPr>
        <w:t>ISO Limit</w:t>
      </w:r>
      <w:r>
        <w:rPr>
          <w:rFonts w:ascii="Times New Roman" w:cs="Times New Roman" w:eastAsia="Times New Roman" w:hAnsi="Times New Roman"/>
          <w:sz w:val="22"/>
          <w:szCs w:val="22"/>
          <w:color w:val="auto"/>
        </w:rPr>
        <w:t>”). The purpose of this Section 3(c) (Incentive Stock Option Limit) is to comply with section 422 of the Code so that the Plan does not reach the ISO Limit before the Share Reserve by reason of Shares becoming available for issuance pursuant to Section 3(b) (Shares Returned to Plan), but not being available for issuance pursuant to the exercise of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62" w:name="page263"/>
    <w:bookmarkEnd w:id="262"/>
    <w:p>
      <w:pPr>
        <w:ind w:left="760"/>
        <w:spacing w:after="0"/>
        <w:rPr>
          <w:sz w:val="20"/>
          <w:szCs w:val="20"/>
          <w:color w:val="auto"/>
        </w:rPr>
      </w:pPr>
      <w:r>
        <w:rPr>
          <w:rFonts w:ascii="Times New Roman" w:cs="Times New Roman" w:eastAsia="Times New Roman" w:hAnsi="Times New Roman"/>
          <w:sz w:val="22"/>
          <w:szCs w:val="22"/>
          <w:b w:val="1"/>
          <w:bCs w:val="1"/>
          <w:color w:val="auto"/>
        </w:rPr>
        <w:t>(d)  Maximum Awards to Non-Employee Directors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Plan, the value of all Awards awarded under this Plan and all other cash compensation paid by the Company to any non-employee Director in any calendar year for service as a non-employee Director shall not exceed $750,000 USD;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amount shall be $1,000,000 USD for the calendar year in which the applicable non-employee Director is initially elected or appointed to the Board. For the purpose of this limitation, the value of any Award shall be calculated based on the grant date fair value of such Award for financial reporting purposes.</w:t>
      </w:r>
    </w:p>
    <w:p>
      <w:pPr>
        <w:spacing w:after="0" w:line="173"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Administration of the Plan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by the Board</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Subject to Section 4(d) (Appointment of Committees) and Section 4(e) (Delegation to Officers), the Plan will be administered by the Board.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Powers of the Administrator</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Administrator shall have such powers and authority as may be necessary or appropriate for the Administrator to carry out its functions as described in the Plan, including the full discretionary authority to:</w:t>
      </w:r>
    </w:p>
    <w:p>
      <w:pPr>
        <w:spacing w:after="0" w:line="158" w:lineRule="exact"/>
        <w:rPr>
          <w:sz w:val="20"/>
          <w:szCs w:val="20"/>
          <w:color w:val="auto"/>
        </w:rPr>
      </w:pPr>
    </w:p>
    <w:p>
      <w:pPr>
        <w:jc w:val="both"/>
        <w:ind w:left="760" w:firstLine="745"/>
        <w:spacing w:after="0" w:line="23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Fair Market Value;</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and amend the terms of or form of any Award Agreements or document for use under the Plan or notices required to be delivered to the Company by Grantees under the Plan;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determine, and measure Performance Goals;</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terminate any outstanding Award pursuant to Section 11(c) (Amendment of Awards and Award Agreements);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63" w:name="page264"/>
    <w:bookmarkEnd w:id="263"/>
    <w:p>
      <w:pPr>
        <w:jc w:val="both"/>
        <w:ind w:left="760" w:firstLine="745"/>
        <w:spacing w:after="0" w:line="239"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determine whether, to what extent, and under what circumstances (A) an Award may be settled in cash, Shares, other Awards, or other property; or (B) how the purchase price, exercise price, and/or tax withholding will be paid pursuant to Section 7(f) (Payment Upon Exercise);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Administrator may not delegate this authority with respect to the Award of any officer of the Company subject to section 16 of the Securities Act;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conditions and events described in the Plan or in Award Agreements are satisfied, including whether a Grantee is Disabled, whether a Corporate Transaction has occurred, whether a Grantee’s Continuous Service has terminated, and whether a Grantee’s employment or service has terminated with Cause;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extent to which adjustments are required pursuant to Section 13 (Adjustments);</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amend, and/or repeal such administrative rules, guidelines, and practices relating to the Plan as it shall deem advisable;</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and interpret the terms of the Plan and any Award Agreements entered into under the Plan and define terms not otherwise defined in the Plan or an Award Agreement;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and approve corrections in the documentation or administration of any Award;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3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4(h) (Foreign Award Recipients), adopt such modifications, procedures, and sub plans (including any modification to or procedures under such sub plans) as the Administrator determines are necessary or desirable to comply with applicable law in other countries in which the Company and any Parent or Subsidiary operate or have employees or other individuals eligible for Awards;</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and apply such policies and procedures as it deems appropriate to provide for clawback or recoupment of Awards, as provided under Section 22 (Clawback) or under the terms of an Award Agreement;</w:t>
      </w:r>
    </w:p>
    <w:p>
      <w:pPr>
        <w:spacing w:after="0" w:line="158" w:lineRule="exact"/>
        <w:rPr>
          <w:rFonts w:ascii="Times New Roman" w:cs="Times New Roman" w:eastAsia="Times New Roman" w:hAnsi="Times New Roman"/>
          <w:sz w:val="22"/>
          <w:szCs w:val="22"/>
          <w:color w:val="auto"/>
        </w:rPr>
      </w:pPr>
    </w:p>
    <w:p>
      <w:pPr>
        <w:ind w:left="760" w:right="380" w:firstLine="745"/>
        <w:spacing w:after="0" w:line="258"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effect of a Corporate Transaction on outstanding Awards, as provided under Section 6(d) (Substitute Awards in Business Transactions) and Section 14 (Corporate Transactions) of the Plan; and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all facts and all other matters that must be determined in connection with the Plan or an Award or that are necessary to administer the Plan and/or any Award Agreement.</w:t>
      </w:r>
    </w:p>
    <w:p>
      <w:pPr>
        <w:spacing w:after="0" w:line="154"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Action by the Administrator</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decisions by the Administrator shall be made in the Administrator’s sole discretion and shall be final and binding on all persons having or claiming any interest in the Plan or in any Award. The Administrator shall consider such factors as it deems relevant,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4" w:name="page265"/>
    <w:bookmarkEnd w:id="264"/>
    <w:p>
      <w:pPr>
        <w:jc w:val="both"/>
        <w:spacing w:after="0" w:line="239" w:lineRule="auto"/>
        <w:rPr>
          <w:sz w:val="20"/>
          <w:szCs w:val="20"/>
          <w:color w:val="auto"/>
        </w:rPr>
      </w:pPr>
      <w:r>
        <w:rPr>
          <w:rFonts w:ascii="Times New Roman" w:cs="Times New Roman" w:eastAsia="Times New Roman" w:hAnsi="Times New Roman"/>
          <w:sz w:val="22"/>
          <w:szCs w:val="22"/>
          <w:color w:val="auto"/>
        </w:rPr>
        <w:t>to making decisions, determinations, and interpretations with respect to the Plan and any Award granted thereunder, including the recommendations or advice of any officer or other employee of the Company and such attorneys, consultants, and accountants as the Administrator may select. No Director or person acting pursuant to the authority delegated by the Administrator shall be liable for any action or determination relating to or under the Plan that is made in good faith.</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  Appointment of Committees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To the extent permitted by applicable law, the Board may delegate by resolution any or all of its powers under the Plan to one or more Committees. All references in the Plan to the “Administrator” shall mean the Board, a Committee referred to in this Section 4(d) (Appointment of Committees), or the officers referred to in Section 4(e) (Delegation to Officers), in each case to the extent that the Board’s powers or authority under the Plan have been delegated to such Committee or officer(s). The Board may retain the authority to concurrently administer the Plan with any Committee or officer(s) and may, at any time, revest in the Board some or all of the powers previously delegated.</w:t>
      </w:r>
    </w:p>
    <w:p>
      <w:pPr>
        <w:spacing w:after="0" w:line="17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Delegation to Officers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To the extent permitted by applicable law, the Board or a Committee may delegate by resolution to one or more officers of the Company the power to grant Awards, subject to any limitations under the Plan, to Employees or officers of the Company or employees or officers of its present or future Subsidiaries, and to exercise such other powers under the Plan as the Board or a Committee may determine;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Board or a Committee shall fix certain material terms of the Awards to be granted by such officers and shall fix the maximum number of Shares subject to Awards that the officers may grant;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officer shall be authorized to grant Awards to himself or herself or any such officer’s spouse (or former spouse),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domestic partner, child, stepchild, grandchild, parent, stepparent, sibling, father-in-law, mother-in-law, son-in-law, daughter-in-law, brother-in-law, sister-in-law, grandparent, niece or nephew, including adoptive relationships.</w:t>
      </w:r>
    </w:p>
    <w:p>
      <w:pPr>
        <w:spacing w:after="0" w:line="174" w:lineRule="exact"/>
        <w:rPr>
          <w:sz w:val="20"/>
          <w:szCs w:val="20"/>
          <w:color w:val="auto"/>
        </w:rPr>
      </w:pPr>
    </w:p>
    <w:p>
      <w:pPr>
        <w:ind w:left="1180" w:hanging="423"/>
        <w:spacing w:after="0"/>
        <w:tabs>
          <w:tab w:leader="none" w:pos="118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16 of the Exchange Act</w:t>
      </w:r>
    </w:p>
    <w:p>
      <w:pPr>
        <w:spacing w:after="0" w:line="210" w:lineRule="exact"/>
        <w:rPr>
          <w:rFonts w:ascii="Times New Roman" w:cs="Times New Roman" w:eastAsia="Times New Roman" w:hAnsi="Times New Roman"/>
          <w:sz w:val="22"/>
          <w:szCs w:val="22"/>
          <w:b w:val="1"/>
          <w:bCs w:val="1"/>
          <w:color w:val="auto"/>
        </w:rPr>
      </w:pPr>
    </w:p>
    <w:p>
      <w:pPr>
        <w:jc w:val="both"/>
        <w:ind w:left="760" w:firstLine="745"/>
        <w:spacing w:after="0" w:line="244" w:lineRule="auto"/>
        <w:tabs>
          <w:tab w:leader="none" w:pos="194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4(d) (Appointment of Committees) and Section 4(e) (Delegation to Officers), no delegation may be made by the Board or a Committee that would cause Awards or other transactions under the Plan to cease to be exempt from section 16(b) of the Exchange Act.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desirable to qualify transactions hereunder as exempt under Rule 16b-3 of the Exchange Act (“</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the transactions contemplated hereunder will be structured to satisfy the requirements for exemption under Rule 16b-3.</w:t>
      </w:r>
    </w:p>
    <w:p>
      <w:pPr>
        <w:spacing w:after="0" w:line="16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Administrator shall not be liable for any act, omission, interpretation, construction, or determination made in good faith in connection with the Plan. In addition to such other rights of indemnification as they may have, members of the Board and any Committee (and any individuals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5" w:name="page266"/>
    <w:bookmarkEnd w:id="265"/>
    <w:p>
      <w:pPr>
        <w:jc w:val="both"/>
        <w:spacing w:after="0" w:line="245" w:lineRule="auto"/>
        <w:rPr>
          <w:sz w:val="20"/>
          <w:szCs w:val="20"/>
          <w:color w:val="auto"/>
        </w:rPr>
      </w:pPr>
      <w:r>
        <w:rPr>
          <w:rFonts w:ascii="Times New Roman" w:cs="Times New Roman" w:eastAsia="Times New Roman" w:hAnsi="Times New Roman"/>
          <w:sz w:val="21"/>
          <w:szCs w:val="21"/>
          <w:color w:val="auto"/>
        </w:rPr>
        <w:t>whom authority to act for the Board or Committee is delegated in accordance with the Plan) shall be defended and indemnified by the Company to the extent permitted by applicable law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Upon the institution of any such claim, investigation, action, suit, or proceeding, any such indemnified person against whom a claim is made shall notify the Company in writing and give the Company the opportunity, within thirty (30) days after such notice and at its own expense, to handle and defend the same before such indemnified person undertakes to handle it on his or her own behalf.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(h)  Foreign Award Recipients</w:t>
      </w:r>
    </w:p>
    <w:p>
      <w:pPr>
        <w:spacing w:after="0" w:line="21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Notwithstanding any provision of the Plan to the contrary and in addition to those powers enumerated in Section 4(b) (Powers of the Administrator), in order to comply with applicable law in other countries in which the Company and any Parent or Subsidiary operate or have employees or other individuals eligible for Awards, the Administrator,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foreign applicable law; (iv) establish sub plans and modify exercise procedures and other terms and procedures, to the extent the Administrator determines such actions to be necessary or advisable to (A) comply with provisions of the laws of jurisdictions outside of the United States in which the Company or any Subsidiary may operate; (B) satisfy securities, tax, or other laws of various jurisdictions in which the Company intends to grant Awards; or (C) qualify for favorable tax treatment under applicable foreign laws;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sub plans and/or modifications to such sub plans shall increase the share limitation contained in Section 3 (Stock Subject to the Plan); and</w:t>
      </w:r>
    </w:p>
    <w:p>
      <w:pPr>
        <w:spacing w:after="0" w:line="8" w:lineRule="exact"/>
        <w:rPr>
          <w:sz w:val="20"/>
          <w:szCs w:val="20"/>
          <w:color w:val="auto"/>
        </w:rPr>
      </w:pPr>
    </w:p>
    <w:p>
      <w:pPr>
        <w:ind w:firstLine="8"/>
        <w:spacing w:after="0" w:line="237" w:lineRule="auto"/>
        <w:tabs>
          <w:tab w:leader="none" w:pos="32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before or after an Award is made, that the Administrator determines to be necessary or advisable to obtain approval or comply with any local governmental regulatory exemptions or approvals.</w:t>
      </w:r>
    </w:p>
    <w:p>
      <w:pPr>
        <w:spacing w:after="0" w:line="174" w:lineRule="exact"/>
        <w:rPr>
          <w:sz w:val="20"/>
          <w:szCs w:val="20"/>
          <w:color w:val="auto"/>
        </w:rPr>
      </w:pPr>
    </w:p>
    <w:p>
      <w:pPr>
        <w:ind w:left="1180" w:hanging="423"/>
        <w:spacing w:after="0"/>
        <w:tabs>
          <w:tab w:leader="none" w:pos="118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Addenda</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Administrator may approve such addenda to the Plan as it may consider necessary or appropriate for the purpose of granting Awards to Employees, Directors, or Consultants, which Awards may contain such terms and conditions as the Administrator deems necessary or appropriate to accommodate differences in local law, tax policy, or custom, which, if so required under applicable law,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6" w:name="page267"/>
    <w:bookmarkEnd w:id="266"/>
    <w:p>
      <w:pPr>
        <w:ind w:left="440" w:hanging="432"/>
        <w:spacing w:after="0"/>
        <w:tabs>
          <w:tab w:leader="none" w:pos="4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Eligibility for Awards</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Awards other than Incentive Stock Options may be granted to Employees, Directors, and Consultants;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required to avoid accelerated taxation and/or tax penalties under section 409A of the Code, an Option or a SAR may be granted only to Employees, Directors, and Consultants with respect to whom the Company is an “eligible issuer of service recipient stock” within the meaning of section 409A of the Code. Incentive Stock Options may be granted only to Employees.</w:t>
      </w:r>
    </w:p>
    <w:p>
      <w:pPr>
        <w:spacing w:after="0" w:line="158"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Types and Terms of Awards</w:t>
      </w:r>
    </w:p>
    <w:p>
      <w:pPr>
        <w:spacing w:after="0" w:line="20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(a)</w:t>
        <w:tab/>
        <w:t>General</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Awards may be made under the Plan in the form of (i) Options, (ii) SARs, (iii) Restricted Stock, (iv) Restricted Stock Units, (v) Unrestricted Stock, (vi) Performance Awards, and (vii) other stock-based awards or cash incentives that the Administrator determines are consistent with the purpose of the Plan and the interests of the Company.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Conditions of Awards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the terms of the Plan, the Administrator shall determine the provisions, terms, and conditions of each Award including, but not limited to, the Award vesting schedule, restrictions and restriction periods, repurchase provisions, rights of first refusal, forfeiture provisions, form of payment (cash, Shares, or other consideration) upon exercise or settlement of the Award, payment contingencies, and satisfaction of any Performance Goals. Subject to the terms of the Plan, the Administrator may determine the effect on an Award of the Disability, death, termination or other cessation of employment or service, an authorized leave of absence, or other change in the employment or service relationship of the Grantee. All of the terms and conditions of an Award shall be as set forth in the applicable Award Agreement or in the Plan.</w:t>
      </w:r>
    </w:p>
    <w:p>
      <w:pPr>
        <w:spacing w:after="0" w:line="17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Discretion of Administrator</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otherwise provided by the Plan, each Award may be made alone or in addition or in relation to any other Award. The terms of each Award need not be identical, and the Administrator need not treat Grantees uniformly. In selecting persons to receive Awards under the Plan and in determining the type and amount of Awards to be granted under the Plan, the Administrator may consider any and all factors that it deems relevant or appropriate.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  Substitute Awards in Business Transactions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Nothing contained in the Plan shall be construed to limit the right of the Administrator to grant Awards under the Plan in connection with the acquisition by the Company, whether by purchase, merger, consolidation, or other corporate transaction, of the business or assets of any corporation or other entity. Without limiting the foregoing, the Administrator may grant Awards under the Plan to an employee, consultant, or director of another company who becomes eligible to participate in the Plan by reason of any such business transaction in substitution for awards previously granted by such corporation or entity to such person. The terms and conditions of the substitute Awards may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67" w:name="page268"/>
    <w:bookmarkEnd w:id="267"/>
    <w:p>
      <w:pPr>
        <w:jc w:val="both"/>
        <w:spacing w:after="0" w:line="244" w:lineRule="auto"/>
        <w:rPr>
          <w:sz w:val="20"/>
          <w:szCs w:val="20"/>
          <w:color w:val="auto"/>
        </w:rPr>
      </w:pPr>
      <w:r>
        <w:rPr>
          <w:rFonts w:ascii="Times New Roman" w:cs="Times New Roman" w:eastAsia="Times New Roman" w:hAnsi="Times New Roman"/>
          <w:sz w:val="22"/>
          <w:szCs w:val="22"/>
          <w:color w:val="auto"/>
        </w:rPr>
        <w:t>from the terms and conditions that would otherwise be required by the Plan solely to the extent the Administrator deems necessary for such purpose. Any Shares subject to these substitute Awards shall not be counted against any of the maximum share limitations set forth in Section 3 (Stock Subject to the Plan).</w:t>
      </w:r>
    </w:p>
    <w:p>
      <w:pPr>
        <w:spacing w:after="0" w:line="16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Rights of a Stockholder</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Grantee shall have no rights as a shareholder with respect to the Shares covered by an Award until the date the Grantee becomes the holder of record of such Shares. No adjustment shall be made for dividends or other rights for which the record date is prior to such date, except as provided by the Administrator.</w:t>
      </w:r>
    </w:p>
    <w:p>
      <w:pPr>
        <w:spacing w:after="0" w:line="169" w:lineRule="exact"/>
        <w:rPr>
          <w:sz w:val="20"/>
          <w:szCs w:val="20"/>
          <w:color w:val="auto"/>
        </w:rPr>
      </w:pPr>
    </w:p>
    <w:p>
      <w:pPr>
        <w:ind w:left="1180" w:hanging="423"/>
        <w:spacing w:after="0"/>
        <w:tabs>
          <w:tab w:leader="none" w:pos="118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Fractional Shares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the case of any fractional Share resulting from the grant, vesting, payment, exercise of an Award (including the withholding of Shares to satisfy tax withholding requirements), or crediting of dividends under an Award, the Administrator shall have the full discretionary authority to (i) disregard such fractional Share, (ii) round such fractional Share to the nearest lower whole Share, or (iii) convert such fractional Share into a right to receive a cash payment.</w:t>
      </w:r>
    </w:p>
    <w:p>
      <w:pPr>
        <w:spacing w:after="0" w:line="17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(g)</w:t>
      </w:r>
      <w:r>
        <w:rPr>
          <w:sz w:val="20"/>
          <w:szCs w:val="20"/>
          <w:color w:val="auto"/>
        </w:rPr>
        <w:tab/>
      </w:r>
      <w:r>
        <w:rPr>
          <w:rFonts w:ascii="Times New Roman" w:cs="Times New Roman" w:eastAsia="Times New Roman" w:hAnsi="Times New Roman"/>
          <w:sz w:val="21"/>
          <w:szCs w:val="21"/>
          <w:b w:val="1"/>
          <w:bCs w:val="1"/>
          <w:color w:val="auto"/>
        </w:rPr>
        <w:t>Leaves of Absence</w:t>
      </w:r>
    </w:p>
    <w:p>
      <w:pPr>
        <w:spacing w:after="0" w:line="21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The Administrator shall have the discretion to determine at any time whether and to what extent the vesting of an Award (or lapsing of the Company’s repurchase rights) shall be tolled during any leave of absence;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absence of such determination, vesting of Awards (or lapsing of the Company’s repurchase rights) shall continue during any paid leave and shall be tolled during any unpaid leave during which a Grantee’s Continuous Service is uninterrupted (unless otherwise required by law, including the Uniform Services Employment and Reemployment Rights Act with respect to military leave).</w:t>
      </w:r>
    </w:p>
    <w:p>
      <w:pPr>
        <w:spacing w:after="0" w:line="164"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Options and SARs</w:t>
      </w:r>
    </w:p>
    <w:p>
      <w:pPr>
        <w:spacing w:after="0" w:line="20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(a)</w:t>
        <w:tab/>
        <w:t>General</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Administrator may grant Options and SARs under the Plan and determine the number of Shares to be covered by each Option and/or SAR; the exercise price; and such other terms, conditions, and limitations applicable to the exercise of each Option and/or SAR, as it deems necessary or advisable. Subject to Section 7(g) (Annual Limit on Incentive Stock Options), Options granted under the Plan may be either Incentive Stock Options or Non-Qualified Stock Options. To the extent that any Option does not qualify as an Incentive Stock Option, it shall be a Non-Qualified Stock Option.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Exercise Price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exercise price per Share subject to an Option or SAR shall be determined by the Administrator at the time of grant but shall not be less than 100% of the Fair Market Value on the date of grant, unless the Board expressly determines otherwise and such Option or SAR complies with applicable law, including section 409A of the Code to the extent applicable. If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8" w:name="page269"/>
    <w:bookmarkEnd w:id="268"/>
    <w:p>
      <w:pPr>
        <w:jc w:val="both"/>
        <w:spacing w:after="0" w:line="249" w:lineRule="auto"/>
        <w:rPr>
          <w:sz w:val="20"/>
          <w:szCs w:val="20"/>
          <w:color w:val="auto"/>
        </w:rPr>
      </w:pPr>
      <w:r>
        <w:rPr>
          <w:rFonts w:ascii="Times New Roman" w:cs="Times New Roman" w:eastAsia="Times New Roman" w:hAnsi="Times New Roman"/>
          <w:sz w:val="21"/>
          <w:szCs w:val="21"/>
          <w:color w:val="auto"/>
        </w:rPr>
        <w:t>owns or is deemed to own (by reason of the attribution rules of section 424(d) of the Code) more than 10% of the combined voting power of all classes of stock of the Company or any Subsidiary or Parent, and an Incentive Stock Option is granted to such Employee, the exercise price of such Incentive Stock Option shall not be less than 110% of the Fair Market Value on the grant date. Notwithstanding the foregoing, Options may be granted with a per Share exercise price, other than as required above, as a substitution for a stock option or stock appreciation right in accordance with and pursuant to section 424 of the Code, in the case of an Incentive Stock Option, and pursuant to section 409A of the Code, in the case of a Non-Qualified Stock Option.</w:t>
      </w:r>
    </w:p>
    <w:p>
      <w:pPr>
        <w:spacing w:after="0" w:line="16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Term of Options and SARs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The term of each Option and SAR shall be fixed by the Administrator and set forth in the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no Option or SAR shall be exercisable after the day immediately preceding the tenth anniversary of the date of grant. If an Employee owns or is deemed to own (by reason of the attribution rules of section 424(d) of the Code) more than 10% of the combined voting power of all classes of stock of the Company or any Subsidiary or Parent, and an Incentive Stock Option is granted to such Employee, such Option shall not be exercisable after the day immediately preceding the fifth anniversary of the date of grant. In accordance with section 422 of the Code, to the extent any Incentive Stock Option is exercised later than three</w:t>
      </w:r>
    </w:p>
    <w:p>
      <w:pPr>
        <w:spacing w:after="0" w:line="1" w:lineRule="exact"/>
        <w:rPr>
          <w:sz w:val="20"/>
          <w:szCs w:val="20"/>
          <w:color w:val="auto"/>
        </w:rPr>
      </w:pPr>
    </w:p>
    <w:p>
      <w:pPr>
        <w:ind w:right="20" w:firstLine="8"/>
        <w:spacing w:after="0" w:line="237" w:lineRule="auto"/>
        <w:tabs>
          <w:tab w:leader="none" w:pos="34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Employee ceases to be employed by the Company or any Subsidiary, except in the case of death or Disability, it will be a Non-Qualified Stock Option.</w:t>
      </w:r>
    </w:p>
    <w:p>
      <w:pPr>
        <w:spacing w:after="0" w:line="17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Exercisability; Rights of a Stockholder</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Subject to Section 7(i) (Non-Exempt Employees), Options and SARs shall become vested and/or exercisable at such time or times, whether or not in installments, as shall be determined by the Administrator and set forth in the applicable Award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the Administrator may at any time accelerate the vesting and/or exercisability of all or any portion of any Option or SAR. If the Administrator determines appropriate for the orderly administration of the Plan, the Administrator shall have the authority to designate a time or times during which otherwise exercisable Options or SARs may not be exercised. A Grantee shall have the rights of a stockholder only as to Shares acquired upon the exercise of an Option or SAR in accordance with the Plan and applicable Award Agreement (and not as to Shares underlying an unexercised Option or SAR) and the entry of such Grantee’s name as a stockholder in the books of the Company.</w:t>
      </w:r>
    </w:p>
    <w:p>
      <w:pPr>
        <w:spacing w:after="0" w:line="174"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Exercise of Options and SARs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Options and SARs may be exercised in whole or in part by delivery to the Company of a written notice of exercise in such form of notice (including electronic notice) and manner of delivery as is specified by the Administrator, together with payment in full as specified in Section 7(f) (Payment Upon Exercise) for the number of Shares for which the Option or SAR is exercised. Shares subject to the Option or SAR will be delivered by the Company as soon as practicable following exercise. The Administrator may specify a reasonable minimum number of Shares with respect to which an Option or SAR may be exercised;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minimum number will not prevent the Grantee from exercising the Option or SAR with respect to the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Shares with respect to which it is then exercisable. If someone other than the Grantee exercises an Option or SAR, then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69" w:name="page270"/>
    <w:bookmarkEnd w:id="269"/>
    <w:p>
      <w:pPr>
        <w:jc w:val="both"/>
        <w:spacing w:after="0" w:line="239" w:lineRule="auto"/>
        <w:rPr>
          <w:sz w:val="20"/>
          <w:szCs w:val="20"/>
          <w:color w:val="auto"/>
        </w:rPr>
      </w:pPr>
      <w:r>
        <w:rPr>
          <w:rFonts w:ascii="Times New Roman" w:cs="Times New Roman" w:eastAsia="Times New Roman" w:hAnsi="Times New Roman"/>
          <w:sz w:val="22"/>
          <w:szCs w:val="22"/>
          <w:color w:val="auto"/>
        </w:rPr>
        <w:t>person must submit documentation reasonably acceptable to the Company verifying that such person has the legal right to exercise the Option or SAR. Notwithstanding the foregoing, SARs may be settled in any form specified by the Administrator in the Award Agreement, including, but not limited to, the delivery of Shares, cash, or a combination of cash and Shares as deemed appropriate by the Administrator.</w:t>
      </w:r>
    </w:p>
    <w:p>
      <w:pPr>
        <w:spacing w:after="0" w:line="176" w:lineRule="exact"/>
        <w:rPr>
          <w:sz w:val="20"/>
          <w:szCs w:val="20"/>
          <w:color w:val="auto"/>
        </w:rPr>
      </w:pPr>
    </w:p>
    <w:p>
      <w:pPr>
        <w:ind w:left="1180" w:hanging="423"/>
        <w:spacing w:after="0"/>
        <w:tabs>
          <w:tab w:leader="none" w:pos="11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Upon Exercise</w:t>
      </w:r>
    </w:p>
    <w:p>
      <w:pPr>
        <w:spacing w:after="0" w:line="21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No Shares or other consideration shall be delivered pursuant to any exercise of an Option or SAR until payment in full of all required tax withholding, and in the case of an Option, the aggregate exercise price. The consideration to be paid for the Shares to be issued upon exercise of an Option, including the method of payment, shall be determined by the Administrator (and, in the case of an Incentive Stock Option and to the extent required by applicable law, shall be determined at the time of grant) and may consist of: (1) cash; (2) check; (3) to the extent permitted under applicable law, delivery of a promissory note with such recourse, interest, security, redemption, and other provisions as the Administrator determines to be appropriate (subject to the provisions of section 153 of the Delaware General Corporation Law and any other applicable law); (4) cancellation of indebtedness; (5) other previously owned Shares that have a Fair Market Value on the date of surrender equal to the aggregate exercise price of the Shares as to which the Option is exercised; (6) a Sell-to-Cover; (7) such other consideration and method of payment permitted under applicable law; or (8) any combination of the foregoing methods of payment. Notwithstanding anything to the contrary herein, unless the Administrator gives prior written approval, pursuant to Section 4(b)(vii), a Grantee shall not be entitled to satisfy the requirement of payment in full of any tax withholding, as set forth in this Section 7(f) (Payment Upon Exercise), through any Sell-to-Cover or “net exercise” arrangement. Payment instruments will be received subject to collection.</w:t>
      </w:r>
    </w:p>
    <w:p>
      <w:pPr>
        <w:spacing w:after="0" w:line="16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(g)</w:t>
      </w:r>
      <w:r>
        <w:rPr>
          <w:sz w:val="20"/>
          <w:szCs w:val="20"/>
          <w:color w:val="auto"/>
        </w:rPr>
        <w:tab/>
      </w:r>
      <w:r>
        <w:rPr>
          <w:rFonts w:ascii="Times New Roman" w:cs="Times New Roman" w:eastAsia="Times New Roman" w:hAnsi="Times New Roman"/>
          <w:sz w:val="21"/>
          <w:szCs w:val="21"/>
          <w:b w:val="1"/>
          <w:bCs w:val="1"/>
          <w:color w:val="auto"/>
        </w:rPr>
        <w:t>Annual Limit on Incentive Stock Options</w:t>
      </w:r>
    </w:p>
    <w:p>
      <w:pPr>
        <w:spacing w:after="0" w:line="21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Each Option shall be designated in the Award Agreement as either an Incentive Stock Option or a Non-Qualified Stock Option. However, notwithstanding such designation, to the extent that the aggregate Fair Market Value of the Shares with respect to which Incentive Stock Options are exercisable for the first time by the Grantee during any calendar year (under all plans of the Company and any Subsidiary or Parent) exceeds $100,000, such Options shall be treated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Stock Options. For purposes of this Section 7(g) (Annual Limit on Incentive Stock Options), Incentive Stock Options shall be taken into account in the order in which they were granted. The Fair Market Value of the Shares shall be determined as of the time the Option with respect to such Shares is granted.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(h)  Early Exercise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Award Agreement for an Option may, but need not, include a provision whereby the Grantee may elect at any time, while an Employee, Director, or Consultant, to exercise any part or all of the Option prior to full vesting or the vesting of such portion. Any unvested Shares received pursuant to such exercise may be subject to a repurchase right in favor of the Company or any Subsidiary or Parent or to any other restriction the Administrator determines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0" w:name="page271"/>
    <w:bookmarkEnd w:id="270"/>
    <w:p>
      <w:pPr>
        <w:ind w:left="1180" w:hanging="423"/>
        <w:spacing w:after="0"/>
        <w:tabs>
          <w:tab w:leader="none" w:pos="118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Non-Exempt Employees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If an Option is granted to an Employee in the United States who is a non-exempt employee for purposes of the Fair Labor Standards Act of 1938, as amended, the Option will not be first exercisable until at least six (6) months following the date of grant of the Option (although the Option may vest prior to such date). Consistent with the provisions of the Worker Economic Opportunity Act, (i) if such non-exempt Employee dies or suffers a Disability, (ii) upon a Corporate Transaction, or (iii) upon the Grantee’s retirement (as such term may be defined in the applicable Award Agreement or the Grantee’s employment agreement, or, if no such definition exists, in accordance with the Company’s then current employment policies and guidelines), the vested portion of any Options held by such employee may be exercised earlier than six (6) months following the date of grant. The foregoing provision is intended to operate so that any income derived by a non-exempt Employee in connection with the exercise or vesting of an Option will be exempt from his or her regular rate of pay. To the extent permitted and/or required for compliance with the Worker Economic Opportunity Act to ensure that any income derived by a non-exempt Employee in connection with the exercise, vesting, issuance of any Shares or other property, or payment of any cash under any other Award will be exempt from the Employee’s regular rate of pay, the provisions of this Section 7(i) (Non-Exempt Employees) will apply to all types of Awards.</w:t>
      </w:r>
    </w:p>
    <w:p>
      <w:pPr>
        <w:spacing w:after="0" w:line="178" w:lineRule="exact"/>
        <w:rPr>
          <w:sz w:val="20"/>
          <w:szCs w:val="20"/>
          <w:color w:val="auto"/>
        </w:rPr>
      </w:pPr>
    </w:p>
    <w:p>
      <w:pPr>
        <w:ind w:left="1180" w:hanging="423"/>
        <w:spacing w:after="0"/>
        <w:tabs>
          <w:tab w:leader="none" w:pos="118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Repricing; Reload Grants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for adjustments pursuant to Section 13 (Adjustments), at any time when the exercise price of an Option or SAR exceeds the Fair Market Value of a Share, the Company shall not, without shareholder approval, reduce the exercise price of such Option or SAR or exchange such Option or SAR for a new Award with a lower (or no) exercise price or for cash. Options shall not be granted under the Plan in consideration for and shall not be conditioned upon the delivery of Shares to the Company in payment of the exercise price and/or tax withholding obligation under any other employee stock option.</w:t>
      </w:r>
    </w:p>
    <w:p>
      <w:pPr>
        <w:spacing w:after="0" w:line="173"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Restricted Stock, Restricted Stock Units, and Unrestricted Stock</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Administrator shall determine the terms and conditions of each Award Agreement for Restricted Stock, Restricted Stock Units, and Unrestricted Stock. Award Agreements for Restricted Stock and Restricted Stock Units shall include such restrictions as the Administrator may impose, which restrictions may lapse separately or in combination at such time or times, in such installments or otherwise, as the Administrator may deem appropriate.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Stock Certificates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may require that any stock certificates issued in respect of Shares of Restricted Stock shall be deposited in escrow by the Grantee, together with a stock power endorsed in blank, with the Company (or its designee). Following the expiration of the applicable restriction periods, the Company (or such designee) shall deliver the certificates no longer subject to such restrictions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Grantee or if the Grantee has died, to the Grantee’s beneficiary, determined in accordance with Section 26 (Beneficiaries).</w:t>
      </w:r>
    </w:p>
    <w:p>
      <w:pPr>
        <w:spacing w:after="0" w:line="202"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Forfeiture and the Option to Purchase</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determined by the Administrator or by agreement between the Grantee and the Company or a Subsidiary or Parent, upon a Grantee’s termination of Continuous Service (as determined under criteria established by the Administrator) for any reason during the applicable restriction period, the Company (or its designee) shall have the right, but shall not be obligated, (i) to repurchase from the Grantee all or part of the Shares of Restricted Stock still subject to restriction at their issue price or other stated or formula price; or (ii) to require forfeiture of such Shares, if issued, at no cost.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  Rights as a Stockholder</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Upon (i) the grant of an Award for Restricted Stock or for Unrestricted Stock or the settlement in Shares of Restricted Stock Units and (ii) payment of any applicable purchase price, the Grantee of such Award shall be entered as a stockholder on the books of the Company and considered the holder of record of such Shares. Without limiting the foregoing, the Grantee shall be entitled to (1) vote such Shares if, and to the extent, such Shares are entitled to voting rights, and (2) subject to Section 8(e) (Dividends; Dividend Equivalents), receive all dividends and any other distributions declared on such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the Company is under no duty to declare any such dividends or to make any such distribution.</w:t>
      </w:r>
    </w:p>
    <w:p>
      <w:pPr>
        <w:spacing w:after="0" w:line="17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Dividends; Dividend Equivalents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Grantees who hold Restricted Stock shall be entitled to receive all dividends and other distributions paid with respect to those shares of Restricted Stock, unless determined otherwise by the Administrator. The Administrator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The Administrator may, but need not, provide in the Award Agreement for Restricted Stock Units that the Company will pay or accrue dividend equivalents with respect to such Restricted Stock Units on each date dividends on Common Stock are paid prior to the settlement of the Restricted Stock Units, subject to such conditions as the Administrator may deem appropriate. The time and form of any such payment of dividend equivalents shall be specified in the Award Agreement.</w:t>
      </w:r>
    </w:p>
    <w:p>
      <w:pPr>
        <w:spacing w:after="0" w:line="179" w:lineRule="exact"/>
        <w:rPr>
          <w:sz w:val="20"/>
          <w:szCs w:val="20"/>
          <w:color w:val="auto"/>
        </w:rPr>
      </w:pPr>
    </w:p>
    <w:p>
      <w:pPr>
        <w:ind w:left="1180" w:hanging="423"/>
        <w:spacing w:after="0"/>
        <w:tabs>
          <w:tab w:leader="none" w:pos="118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Stock Units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Restricted Stock Units may be settled in any form specified by the Administrator in the Award Agreement, including, but not limited to, the delivery of Shares, cash, or a combination of cash and Shares as deemed appropriate by the Administrator. At the time of grant, the Administrator may determine to impose such restrictions or conditions that delay such delivery to a date following the vesting of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2" w:name="page273"/>
    <w:bookmarkEnd w:id="272"/>
    <w:p>
      <w:pPr>
        <w:ind w:left="440" w:hanging="432"/>
        <w:spacing w:after="0"/>
        <w:tabs>
          <w:tab w:leader="none" w:pos="4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Awards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Performance Awards subject to vesting or payment based on the achievement of Performance Goals may be granted under the Plan. The Administrator shall determine the terms and conditions of the Performance Awards, including the number of Shares covered by the Award, the duration of the Performance Period, whether the Performance Award will be paid in Shares, other property, cash, or a combination of the forgoing, and any other terms and conditions. In all cases, the Administrator may condition the vesting or value of an Award upon the achievement of Performance Goals; any such Award shall constitute a Performance Award for purpose of this Plan. At the expiration of the Performance Period, the Administrator shall evaluate the Performance Award holder’s and/or the Company’s performance in light of any Performance Goals for such Performance Award, and shall determine the number of Shares (or other applicable payment measures) which have been earned. Each Performance Award shall be subject to an Award Agreement.</w:t>
      </w:r>
    </w:p>
    <w:p>
      <w:pPr>
        <w:spacing w:after="0" w:line="179" w:lineRule="exact"/>
        <w:rPr>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Awards</w:t>
      </w:r>
    </w:p>
    <w:p>
      <w:pPr>
        <w:spacing w:after="0" w:line="20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1"/>
          <w:szCs w:val="21"/>
          <w:b w:val="1"/>
          <w:bCs w:val="1"/>
          <w:color w:val="auto"/>
        </w:rPr>
        <w:t>Other Stock-Based Awards</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Subject to the provisions of the Plan, the Administrator may grant other Awards that are valued in whole or in part by reference to, or are otherwise based upon, Common Stock. Such Awards may be granted either alone or in conjunction with other Awards granted under the Plan. Each such Award shall be confirmed by, and subject to, the terms of an Award Agreement.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Cash Incentive Awards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Subject to the provisions of the Plan, the Administrator may grant cash incentive awards.</w:t>
      </w:r>
    </w:p>
    <w:p>
      <w:pPr>
        <w:spacing w:after="0" w:line="202"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Provisions Applicable to Awards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Awards shall not be sold, assigned, transferred, pledged, or otherwise encumbered by the person to whom they are granted, either voluntarily or by operation of law, and may be exercised, during the lifetime of the Grantee, only by the Grantee. Notwithstanding the foregoing, the Administrator may provide, including in an Award Agreement, that the Award is transferable by will, by the laws of descent and distribution, or as permitted by applicable law. References to a Grantee, to the extent relevant in the context, shall include references to authorized transferees.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Withholding and Tax</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Grantee must satisfy all applicable federal, state, local, and foreign or other income and employment tax withholding obligations before the Company will deliver stock certificates (or such other consideration payable pursuant to the Award) or otherwise recognize ownership of Shares under an Award. The Company may decide to satisfy the withholding obligations through additional withholding on salary or wages. If the Company elects not to or cannot withhold from other compensation, the Grantee must pay the Company the full amount, if any, required for withholding. If provided for in an Award or approved by the Administrator in its sole discretion, the Grantee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73" w:name="page274"/>
    <w:bookmarkEnd w:id="27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satisfy such tax obligations in whole or in part by (i) having a broker tender to the Company cash equal to the withholding obligations, or (ii) delivery of Shares, including Shares retained from the Award creating the tax obligation, valued at their Fair Market Value;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otherwise provided by the Administrator,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must not be subject to any repurchase, forfeiture, unfulfilled vesting, or other similar requirements. The Grantee shall bear all taxes on all Awards and payments thereunder to the extent that no taxes are withheld, irrespective of whether withholding is required. The Company has no obligation to secure favorable tax treatment for any Grantee with respect to any Award or any payment thereunder.</w:t>
      </w:r>
    </w:p>
    <w:p>
      <w:pPr>
        <w:spacing w:after="0" w:line="17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Amendment of Awards and Award Agreements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Administrator may amend, modify, or terminate any outstanding Award and Award Agreement, at any time and for any reason. The Grantee’s consent to such action shall be required </w:t>
      </w:r>
      <w:r>
        <w:rPr>
          <w:rFonts w:ascii="Times New Roman" w:cs="Times New Roman" w:eastAsia="Times New Roman" w:hAnsi="Times New Roman"/>
          <w:sz w:val="22"/>
          <w:szCs w:val="22"/>
          <w:i w:val="1"/>
          <w:iCs w:val="1"/>
          <w:color w:val="auto"/>
        </w:rPr>
        <w:t>unless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right="20" w:firstLine="745"/>
        <w:spacing w:after="0" w:line="258"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determines that the action, taking into account any related action, would not materially and adversely affect the Grantee’s rights under the Plan;</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is permitted under Section 12(b) (Non-U.S. Grantees), Section 13 (Adjustments), Section 14 (Corporate Transactions), or Section 19 (Section 409A);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determines that the action is required or advisable in order for the Company, the Plan, or the Award to satisfy any law or regulation or to meet the requirements of or avoid adverse financial accounting consequences under any accounting standard.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  Trading Policy Restrictions</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Option exercises and Awards under the Plan shall be subject to the Company’s insider trading policy, and such related restrictions, terms and conditions, or other policies as may be established by the Administrator from time to time.</w:t>
      </w:r>
    </w:p>
    <w:p>
      <w:pPr>
        <w:spacing w:after="0" w:line="154"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Upon Issuance of Shares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Plan, the Awards thereunder, and the obligation of the Company to deliver Shares (or other consideration) under such Awards, shall be subject to all applicable foreign, federal, state, and local laws, rules, and regulations; stock exchange rules and regulations; and such approvals by any governmental or regulatory agency as may be required. The Company shall not be required to register in a Grantee’s name or deliver Shares prior to the completion of any registration or qualification of such Shares under any foreign, federal, state, or local law; or any ruling or regulation of any government body which the Administrator shall determine to be necessary or advisable.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4" w:name="page275"/>
    <w:bookmarkEnd w:id="274"/>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is unable to or the Administrator deems it infeasible to obtain authority from any regulatory body having jurisdiction, which authority is deemed by the Company’s counsel to be necessary to the lawful issuance and sale of any Shares hereunder, the Company shall be relieved of any liability with respect to the failure to issue or sell such Shares as to which such requisite authority shall not have been obtained. No Option or SAR shall be exercisable and no Shares shall be issued and/or transferable under any other Award unless a registration statement with respect to the Common Stock underlying such Award is effective and current or the Company has determined that such registration is unnecessary. The Company shall have no obligation to effect any registration or qualification of the Shares under foreign, federal, state, or local laws, rules, or regulations.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Non-U.S. Grantees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event an Award is granted to or held by a Grantee who is employed or providing services outside the United States, the Administrator may, in its sole discretion, modify the provisions of the Plan (including any sub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Grantees employed outside their home country.</w:t>
      </w:r>
    </w:p>
    <w:p>
      <w:pPr>
        <w:spacing w:after="0" w:line="177" w:lineRule="exact"/>
        <w:rPr>
          <w:sz w:val="20"/>
          <w:szCs w:val="20"/>
          <w:color w:val="auto"/>
        </w:rPr>
      </w:pPr>
    </w:p>
    <w:p>
      <w:pPr>
        <w:ind w:left="440" w:hanging="432"/>
        <w:spacing w:after="0"/>
        <w:tabs>
          <w:tab w:leader="none" w:pos="4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p>
    <w:p>
      <w:pPr>
        <w:spacing w:after="0" w:line="210"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(i) the number and class of securities available under the Plan, including the ISO Limit, (ii) the number and class of securities and exercise price per Share of each outstanding Option and SAR, (iii) the number of Shares subject to and the repurchase price per Share subject to each outstanding Restricted Stock Award (or restricted Share arrangement pursuant to each “early exercised” Option) and Restricted Stock Unit Award, and (iv) the terms of each other outstanding Award may be equitably adjusted (or substituted Awards may be made, if applicable) in the manner determined by the Administrator;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each adjustment to Non-Qualified Stock Options or SARs shall satisfy the requirements of Treas. Reg. § 1.409A-1(b)(5)(v)(D) and each adjustment to Incentive Stock Options shall satisfy the requirements of Treas.</w:t>
      </w:r>
    </w:p>
    <w:p>
      <w:pPr>
        <w:spacing w:after="0" w:line="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 § 1.424-1.</w:t>
      </w:r>
    </w:p>
    <w:p>
      <w:pPr>
        <w:spacing w:after="0" w:line="182"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majority of the shares which are of the same class as the shares that are subject to the Award are exchanged by whatever means for, converted into, or otherwise become (whether or not pursuant to a Corporate Transaction) shares of another corporation (the “</w:t>
      </w:r>
      <w:r>
        <w:rPr>
          <w:rFonts w:ascii="Times New Roman" w:cs="Times New Roman" w:eastAsia="Times New Roman" w:hAnsi="Times New Roman"/>
          <w:sz w:val="22"/>
          <w:szCs w:val="22"/>
          <w:u w:val="single" w:color="auto"/>
          <w:color w:val="auto"/>
        </w:rPr>
        <w:t>New Shares</w:t>
      </w:r>
      <w:r>
        <w:rPr>
          <w:rFonts w:ascii="Times New Roman" w:cs="Times New Roman" w:eastAsia="Times New Roman" w:hAnsi="Times New Roman"/>
          <w:sz w:val="22"/>
          <w:szCs w:val="22"/>
          <w:color w:val="auto"/>
        </w:rPr>
        <w:t>”), the Board may unilaterally amend the Award to provide that the Award is for New Shares. In the event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such amendment, the number of shares subject to the Award shall be adjusted in accordance with Section 13(a).</w:t>
      </w:r>
    </w:p>
    <w:p>
      <w:pPr>
        <w:spacing w:after="0" w:line="206" w:lineRule="exact"/>
        <w:rPr>
          <w:sz w:val="20"/>
          <w:szCs w:val="20"/>
          <w:color w:val="auto"/>
        </w:rPr>
      </w:pPr>
    </w:p>
    <w:p>
      <w:pPr>
        <w:ind w:right="20" w:firstLine="757"/>
        <w:spacing w:after="0" w:line="258" w:lineRule="auto"/>
        <w:tabs>
          <w:tab w:leader="none" w:pos="118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adjustments made under this Section 13 (Adjustments) shall be made in a manner which does not adversely affect the exemption provided pursuant to Rule 16b-3.</w:t>
      </w:r>
    </w:p>
    <w:p>
      <w:pPr>
        <w:spacing w:after="0" w:line="154"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Corporate Transactions</w:t>
      </w:r>
    </w:p>
    <w:p>
      <w:pPr>
        <w:spacing w:after="0" w:line="21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provide, in its sole discretion, with respect to the treatment of each outstanding Award (either separately for each Award (or portion of Award) or uniformly for all Awards), upon the consummation of a Corporate Transaction, for any combination of the following:</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 all outstanding Options and SARs shall become vested and immediately exercisable, in whole or in</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2"/>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 all outstanding Restricted Stock or Restricted Stock Units shall become non-forfeitable, in whole or</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part;</w:t>
      </w:r>
    </w:p>
    <w:p>
      <w:pPr>
        <w:spacing w:after="0" w:line="182"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 or SAR shall be assumed by the surviving or successor company or canceled in exchange for substitute stock options or stock appreciation rights in a manner consistent with the requirements of Treas. Reg. § 1.409A-1(b)(5)(v)(D), in the case of a Non-Qualified Stock Option or SAR, and Treas. Reg. § 1.424-1(a), in the case of an Incentive Stock Option; any substitute stock option or stock appreciation right shall be vested to the extent the assumed Option or SAR was vested and, to the extent unvested, shall be subject to the same vesting schedule;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 or SAR shall be canceled in exchange for cash and/or other substitute consideration with a value equal to (A) the number of Shares subject thereto, multiplied by (B) the difference, if any, between the Fair Market Value per Share on the date of the Corporate Transaction or the per share consideration payable to the Company’s stockholders in the Corporate Transaction (such per share consideration, the “</w:t>
      </w:r>
      <w:r>
        <w:rPr>
          <w:rFonts w:ascii="Times New Roman" w:cs="Times New Roman" w:eastAsia="Times New Roman" w:hAnsi="Times New Roman"/>
          <w:sz w:val="22"/>
          <w:szCs w:val="22"/>
          <w:u w:val="single" w:color="auto"/>
          <w:color w:val="auto"/>
        </w:rPr>
        <w:t>Transaction Consideration</w:t>
      </w:r>
      <w:r>
        <w:rPr>
          <w:rFonts w:ascii="Times New Roman" w:cs="Times New Roman" w:eastAsia="Times New Roman" w:hAnsi="Times New Roman"/>
          <w:sz w:val="22"/>
          <w:szCs w:val="22"/>
          <w:color w:val="auto"/>
        </w:rPr>
        <w:t xml:space="preserve">”) and the exercise price per Share of that Option or SAR;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per Share on the date of the Corporate Transaction or the Transaction Consideration does not exceed such exercise price, the Administrator may cancel that Option or SAR without any payment of consideration therefor;</w:t>
      </w:r>
    </w:p>
    <w:p>
      <w:pPr>
        <w:spacing w:after="0" w:line="18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or Restricted Stock Unit shall be assumed by the successor corporation or canceled in exchange for restricted stock or restricted stock units in respect of the capital stock of any successor corporation;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Stock shall be redeemed for cash and/or other substitute consideration with a value equal to</w:t>
      </w:r>
    </w:p>
    <w:p>
      <w:pPr>
        <w:spacing w:after="0" w:line="25" w:lineRule="exact"/>
        <w:rPr>
          <w:rFonts w:ascii="Times New Roman" w:cs="Times New Roman" w:eastAsia="Times New Roman" w:hAnsi="Times New Roman"/>
          <w:sz w:val="21"/>
          <w:szCs w:val="21"/>
          <w:color w:val="auto"/>
        </w:rPr>
      </w:pPr>
    </w:p>
    <w:p>
      <w:pPr>
        <w:ind w:left="760" w:right="20" w:hanging="3"/>
        <w:spacing w:after="0" w:line="237" w:lineRule="auto"/>
        <w:tabs>
          <w:tab w:leader="none" w:pos="1055"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an unrestricted Share on the date of the Corporate Transaction or (ii) the Transaction Consideration;</w:t>
      </w:r>
    </w:p>
    <w:p>
      <w:pPr>
        <w:spacing w:after="0" w:line="17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 shall, subject to Section 19 (Section 409A), be canceled in exchange for cash and/or other substitute consideration with a value equal to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6" w:name="page277"/>
    <w:bookmarkEnd w:id="276"/>
    <w:p>
      <w:pPr>
        <w:ind w:left="760"/>
        <w:spacing w:after="0"/>
        <w:rPr>
          <w:sz w:val="20"/>
          <w:szCs w:val="20"/>
          <w:color w:val="auto"/>
        </w:rPr>
      </w:pPr>
      <w:r>
        <w:rPr>
          <w:rFonts w:ascii="Times New Roman" w:cs="Times New Roman" w:eastAsia="Times New Roman" w:hAnsi="Times New Roman"/>
          <w:sz w:val="22"/>
          <w:szCs w:val="22"/>
          <w:color w:val="auto"/>
        </w:rPr>
        <w:t>the Fair Market Value per Share on the date of the Corporate Transaction or (ii) the Transaction Consideration; and/or</w:t>
      </w:r>
    </w:p>
    <w:p>
      <w:pPr>
        <w:spacing w:after="0" w:line="206" w:lineRule="exact"/>
        <w:rPr>
          <w:sz w:val="20"/>
          <w:szCs w:val="20"/>
          <w:color w:val="auto"/>
        </w:rPr>
      </w:pPr>
    </w:p>
    <w:p>
      <w:pPr>
        <w:ind w:left="760" w:right="20" w:firstLine="745"/>
        <w:spacing w:after="0" w:line="258" w:lineRule="auto"/>
        <w:tabs>
          <w:tab w:leader="none" w:pos="2373"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allowed under applicable law, such other modifications, substitutions, adjustments, or amendments to outstanding awards or the Plan as the Administrator deems necessary or appropriate.</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409A of the Code, in the event that an Award is treated as provided for in Section 14(a)(iv), 14(a) (vi), or 14(a)(vii), such payment may be made in installments and may be deferred until the date or dates the Award would have become exercisable or vested. Such payment may be subject to vesting based on the Grantee’s continued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vesting schedule shall not be less favorable to the Grantee than the schedule under which the Award would have become vested or exercisable. For this purpose, the Fair Market Value of any security shall be determined without regard to any vesting conditions that may apply to such security.</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successor or acquiring corporation (if any) does not assume, convert, replace, or substitute Awards, as provided in this Section 14 (Corporate Transactions), pursuant to a Corporate Transaction, then notwithstanding any other provision in this Plan to the contrary, such Awards shall have their vesting accelerate as to all shares subject to such Awards (and any applicable right of repurchase fully lapse) immediately prior to the Corporate Transaction. In addition, in the event such successor or acquiring corporation (if any) does not assume, convert, replace, or substitute any Option or SAR, as provided above (including as provided for in Section 14(a)(iv)), pursuant to a Corporate Transaction, the Administrator will notify the Grantee in writing or electronically that such Award will be exercisable for a period of time determined by the Administrator in its sole discretion, and such Award will terminate upon the expiration of such period.</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taking any of the actions permitted under this Section 14 (Corporate Transactions), the Administrator shall not be obligated to treat all Grantees, all Awards, all Awards held by a Grantee, all portions of a single Award, or all Awards of the same type identically. Any substitute consideration issued to a Grantee pursuant to this Section 14 (Corporate Transactions) may include, to the extent determined by the Administrator, the right to receive consideration payable in the Corporate Transaction after the closing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in respect of an earn-out or escrow release);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to the extent the Administrator determines otherwise, any substitute consideration will be structured to avoid adverse tax consequences under section 409A of the Code (including pursuant to Treas. Reg. § 1.409A-3(i)(5)(iv)).</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receipt of an Award under this Plan, a Grantee will be deemed to have agreed that the Award will be subject to the terms of any agreement governing a Corporate Transaction involving the Company, including a provision for the appointment of a stockholder representative that is authorized to act on the Grantee’s behalf with respect to any escrow, indemnities, and/or contingent consideration.</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Dissolution or Liquidation</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Notwithstanding Section 14 (Corporate Transactions), in the event of the winding up, dissolution, or liquidation of the Company, the Administrator will notify each Grantee,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7" w:name="page278"/>
    <w:bookmarkEnd w:id="277"/>
    <w:p>
      <w:pPr>
        <w:jc w:val="both"/>
        <w:spacing w:after="0" w:line="244" w:lineRule="auto"/>
        <w:rPr>
          <w:sz w:val="20"/>
          <w:szCs w:val="20"/>
          <w:color w:val="auto"/>
        </w:rPr>
      </w:pPr>
      <w:r>
        <w:rPr>
          <w:rFonts w:ascii="Times New Roman" w:cs="Times New Roman" w:eastAsia="Times New Roman" w:hAnsi="Times New Roman"/>
          <w:sz w:val="22"/>
          <w:szCs w:val="22"/>
          <w:color w:val="auto"/>
        </w:rPr>
        <w:t>practicable, prior to the effective date of such proposed transaction. To the extent it has not been previously exercised or settled, an Award will terminate immediately prior to the consummation of such transaction, unless otherwise determined by the Administrator.</w:t>
      </w:r>
    </w:p>
    <w:p>
      <w:pPr>
        <w:spacing w:after="0" w:line="169" w:lineRule="exact"/>
        <w:rPr>
          <w:sz w:val="20"/>
          <w:szCs w:val="20"/>
          <w:color w:val="auto"/>
        </w:rPr>
      </w:pPr>
    </w:p>
    <w:p>
      <w:pPr>
        <w:ind w:left="440" w:hanging="432"/>
        <w:spacing w:after="0"/>
        <w:tabs>
          <w:tab w:leader="none" w:pos="4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 and Term of Plan; Stockholder Approval</w:t>
      </w:r>
    </w:p>
    <w:p>
      <w:pPr>
        <w:spacing w:after="0" w:line="20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1"/>
          <w:szCs w:val="21"/>
          <w:b w:val="1"/>
          <w:bCs w:val="1"/>
          <w:color w:val="auto"/>
        </w:rPr>
        <w:t>Effective Date and Term of Plan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Plan shall become effective on the day prior to the Public Trading Date and shall continue in effect until the day immediately preceding the ten-year anniversary of thereof, unless sooner terminated;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Incentive Stock Options shall be granted following the ten-year anniversary of the earlier of (i) the effective date of the Board’s most recent adoption of the Plan or (ii) the most recent date the Company’s stockholders approve the Plan.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Stockholder Approval</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Option or SAR granted under the Plan may be exercised, no Shares shall be issued under the Plan, and no Restricted Stock Unit shall be settled, until the Plan is approved by the Company’s stockholders. If such stockholder approval is not obtained within twelve (12) months after the date of the Board’s adoption of the Plan, then all Awards previously granted under the Plan shall immediately and automatically terminate and cease to be outstanding, and no further Awards shall be granted under the Plan.</w:t>
      </w:r>
    </w:p>
    <w:p>
      <w:pPr>
        <w:spacing w:after="0" w:line="173" w:lineRule="exact"/>
        <w:rPr>
          <w:sz w:val="20"/>
          <w:szCs w:val="20"/>
          <w:color w:val="auto"/>
        </w:rPr>
      </w:pPr>
    </w:p>
    <w:p>
      <w:pPr>
        <w:ind w:left="440" w:hanging="432"/>
        <w:spacing w:after="0"/>
        <w:tabs>
          <w:tab w:leader="none" w:pos="4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Suspension, or Termination of the Plan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Subject to the terms of the Plan, the Board may at any time and from time to time, alter, amend, suspend, or terminate the Plan, in whole or in part;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Board shall obtain stockholder approval of any Plan amendment to the extent necessary to comply with applicable law, rule, or regulation. In addition, in no event shall an amendment increase the maximum number of shares of Common Stock with respect to which Awards may be granted under the Plan without stockholder approval.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Limitation on Grants of Awards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Award may be granted during any suspension of the Plan or after termination or expiration of the Plan, but Awards previously granted may extend beyond that date.</w:t>
      </w:r>
    </w:p>
    <w:p>
      <w:pPr>
        <w:spacing w:after="0" w:line="154"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1"/>
          <w:szCs w:val="21"/>
          <w:b w:val="1"/>
          <w:bCs w:val="1"/>
          <w:color w:val="auto"/>
        </w:rPr>
        <w:t>No Effect on Outstanding Awards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Except as set forth in Section 16(b) (Stockholder Approval), no suspension or termination of the Plan shall materially adversely affect any rights under Awards outstanding at the time of such suspension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8" w:name="page279"/>
    <w:bookmarkEnd w:id="278"/>
    <w:p>
      <w:pPr>
        <w:ind w:left="440" w:hanging="432"/>
        <w:spacing w:after="0"/>
        <w:tabs>
          <w:tab w:leader="none" w:pos="4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Employment or Services Rights; Other Compensation and Benefits</w:t>
      </w:r>
    </w:p>
    <w:p>
      <w:pPr>
        <w:spacing w:after="0" w:line="21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not confer upon any Grantee any right to employment or service with the Company or any Subsidiary or Parent, nor shall it interfere in any way with the right of the Company or any Subsidiary or Parent to terminate the Grantee’s employment or service at any time and for any reason, with or without cause.</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compensation deemed to be received by a Grantee pursuant to an Award shall not constitute includable compensation for purposes of determining the amount of benefits to which the Grantee is entitled under any other compensation or benefit plan or program of the Company or any Subsidiary or Parent, including under any bonus, pension, profit-sharing, life insurance, salary continuation, or severance benefits plan, except to the extent specifically provided by the terms of any such plan.</w:t>
      </w:r>
    </w:p>
    <w:p>
      <w:pPr>
        <w:spacing w:after="0" w:line="17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p>
    <w:p>
      <w:pPr>
        <w:spacing w:after="0" w:line="210"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provisions of the Plan avoid the adverse consequences under section 409A of the Code, and all provisions of the Plan and Award Agreements shall be construed and interpreted in a manner consistent with that intent.</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Grantee, or creditors, or beneficiaries of a Grantee, shall have the right to subject any deferred compensation (within the meaning of and subject to section 409A of the Code) payable under the Plan to any anticipation, alienation, sale, transfer, assignment, pledge, encumbrance, attachment, or garnishment, except as required by applicable law. Except as permitted under section 409A of the Code, any deferred compensation (within the meaning of and subject to section 409A of the Code) payable to any Grantee or for the benefit of any Grantee under the Plan may not be reduced by, or offset against, any amount owing by any such Grantee to the Company or any Subsidiary or Parent.</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Award is subject to section 409A of the Code and payment is due upon a termination of employment, payment shall be made upon a separation from service within the meaning of section 409A of the Code.</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a Grantee’s separation from service (within the meaning of section 409A of the Code), (i) such Grantee is a specified employee (within the meaning of section 409A of the Code), and (ii) an amount payable pursuant to an Award constitutes nonqualified deferred compensation (within the meaning of section 409A of the Code) the payment of which is required to be delayed pursuant to the six month delay rule set forth in section 409A of the Code in order to avoid taxes or penalties under section 409A of the Code, then the Company shall not pay such amount on the otherwise scheduled payment date but shall instead pay it, without interest, on the first day of the seventh month following such separation from service.</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the Plan to the contrary, the Administrator reserves the right to make amendments to any Award as the Administrator deems necessary or desirable to avoid the imposition of taxes or penalties under section 409A of the Code. In any case, a Grantee shall be solely responsible and liable for the satisfaction of all taxes and penalties that may be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79" w:name="page280"/>
    <w:bookmarkEnd w:id="279"/>
    <w:p>
      <w:pPr>
        <w:jc w:val="both"/>
        <w:spacing w:after="0" w:line="244" w:lineRule="auto"/>
        <w:rPr>
          <w:sz w:val="20"/>
          <w:szCs w:val="20"/>
          <w:color w:val="auto"/>
        </w:rPr>
      </w:pPr>
      <w:r>
        <w:rPr>
          <w:rFonts w:ascii="Times New Roman" w:cs="Times New Roman" w:eastAsia="Times New Roman" w:hAnsi="Times New Roman"/>
          <w:sz w:val="22"/>
          <w:szCs w:val="22"/>
          <w:color w:val="auto"/>
        </w:rPr>
        <w:t>on a Grantee or for a Grantee’s account in connection with an Award (including any taxes and penalties under section 409A of the Code), and neither the Company nor any Subsidiary or Parent, or any other person or entity, shall have any obligation to indemnify or otherwise hold such Grantee harmless from any or all of such taxes or penalties.</w:t>
      </w:r>
    </w:p>
    <w:p>
      <w:pPr>
        <w:spacing w:after="0" w:line="169" w:lineRule="exact"/>
        <w:rPr>
          <w:sz w:val="20"/>
          <w:szCs w:val="20"/>
          <w:color w:val="auto"/>
        </w:rPr>
      </w:pPr>
    </w:p>
    <w:p>
      <w:pPr>
        <w:ind w:left="440" w:hanging="432"/>
        <w:spacing w:after="0"/>
        <w:tabs>
          <w:tab w:leader="none" w:pos="4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Unfunded Status of Plan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Plan is intended to constitute an “unfunded” plan for incentive and deferred compensation. 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so determine in connection with any Award.</w:t>
      </w:r>
    </w:p>
    <w:p>
      <w:pPr>
        <w:spacing w:after="0" w:line="176" w:lineRule="exact"/>
        <w:rPr>
          <w:sz w:val="20"/>
          <w:szCs w:val="20"/>
          <w:color w:val="auto"/>
        </w:rPr>
      </w:pPr>
    </w:p>
    <w:p>
      <w:pPr>
        <w:ind w:left="440" w:hanging="432"/>
        <w:spacing w:after="0"/>
        <w:tabs>
          <w:tab w:leader="none" w:pos="4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Signatures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For purposes of the Plan, a document shall be considered to be executed if signed electronically pursuant to procedures approved by the Company.</w:t>
      </w:r>
    </w:p>
    <w:p>
      <w:pPr>
        <w:spacing w:after="0" w:line="154" w:lineRule="exact"/>
        <w:rPr>
          <w:sz w:val="20"/>
          <w:szCs w:val="20"/>
          <w:color w:val="auto"/>
        </w:rPr>
      </w:pPr>
    </w:p>
    <w:p>
      <w:pPr>
        <w:ind w:left="440" w:hanging="432"/>
        <w:spacing w:after="0"/>
        <w:tabs>
          <w:tab w:leader="none" w:pos="4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p>
    <w:p>
      <w:pPr>
        <w:spacing w:after="0" w:line="210" w:lineRule="exact"/>
        <w:rPr>
          <w:sz w:val="20"/>
          <w:szCs w:val="20"/>
          <w:color w:val="auto"/>
        </w:rPr>
      </w:pPr>
    </w:p>
    <w:p>
      <w:pPr>
        <w:jc w:val="both"/>
        <w:ind w:firstLine="814"/>
        <w:spacing w:after="0" w:line="239" w:lineRule="auto"/>
        <w:rPr>
          <w:sz w:val="20"/>
          <w:szCs w:val="20"/>
          <w:color w:val="auto"/>
        </w:rPr>
      </w:pPr>
      <w:r>
        <w:rPr>
          <w:rFonts w:ascii="Times New Roman" w:cs="Times New Roman" w:eastAsia="Times New Roman" w:hAnsi="Times New Roman"/>
          <w:sz w:val="22"/>
          <w:szCs w:val="22"/>
          <w:color w:val="auto"/>
        </w:rPr>
        <w:t>All Awards (whether vested or unvested) shall be subject to the terms of the Company’s recoupment, clawback and/or similar policies, as such may be in effect from time to time, as well as any similar provisions of applicable law,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176" w:lineRule="exact"/>
        <w:rPr>
          <w:sz w:val="20"/>
          <w:szCs w:val="20"/>
          <w:color w:val="auto"/>
        </w:rPr>
      </w:pPr>
    </w:p>
    <w:p>
      <w:pPr>
        <w:ind w:left="440" w:hanging="432"/>
        <w:spacing w:after="0"/>
        <w:tabs>
          <w:tab w:leader="none" w:pos="4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All references to sections of the Code shall include the relevant Treasury Regulation(s) thereunder, any successor to such regulation(s), and any Internal Revenue Service guidance that has been or may be promulgated thereunder from time to time. The word “include” shall mean to include, but not to be limited to.</w:t>
      </w:r>
    </w:p>
    <w:p>
      <w:pPr>
        <w:spacing w:after="0" w:line="177" w:lineRule="exact"/>
        <w:rPr>
          <w:sz w:val="20"/>
          <w:szCs w:val="20"/>
          <w:color w:val="auto"/>
        </w:rPr>
      </w:pPr>
    </w:p>
    <w:p>
      <w:pPr>
        <w:ind w:left="440" w:hanging="432"/>
        <w:spacing w:after="0"/>
        <w:tabs>
          <w:tab w:leader="none" w:pos="4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any provision of the Plan or any Award is, becomes, or is deemed to be invalid, illegal, or unenforceable in any jurisdiction or as to any Grantee, such provision shall be construed or deemed amended to conform with applicable law, or if the provision cannot be so construed or deemed amended without, in the sole discretion of the Administrator, materially altering the intent of the Plan or the Award, such provision shall be severed as to the jurisdiction or the Grantee and the remainder of the Plan and any such Award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0" w:name="page281"/>
    <w:bookmarkEnd w:id="280"/>
    <w:p>
      <w:pPr>
        <w:ind w:left="440" w:hanging="432"/>
        <w:spacing w:after="0"/>
        <w:tabs>
          <w:tab w:leader="none" w:pos="4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validity and construction of the Plan and any Award Agreements thereunder shall be governed by the laws of the State of Delaware, excluding any conflicts or choice of law rules or principles that might otherwise refer construction or interpretation of any provision of the Plan or an Award Agreement to the substantive law of another jurisdiction.</w:t>
      </w:r>
    </w:p>
    <w:p>
      <w:pPr>
        <w:spacing w:after="0" w:line="169" w:lineRule="exact"/>
        <w:rPr>
          <w:sz w:val="20"/>
          <w:szCs w:val="20"/>
          <w:color w:val="auto"/>
        </w:rPr>
      </w:pPr>
    </w:p>
    <w:p>
      <w:pPr>
        <w:ind w:left="440" w:hanging="432"/>
        <w:spacing w:after="0"/>
        <w:tabs>
          <w:tab w:leader="none" w:pos="4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Beneficiaries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Unless stated otherwise in an Award Agreement, a Grantee may designate one or more beneficiaries with respect to an Award by timely filing the prescribed form with the Company. A beneficiary designation may be changed by filing the prescribed form with the Company at any time before the Grantee’s death. If no beneficiary was designated or if no designated beneficiary survives the Grantee, the designated beneficiary shall be the Grantee’s estate and after a Grantee’s death any vested Award(s) shall be transferred or distributed to the Grantee’s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3027045</wp:posOffset>
            </wp:positionV>
            <wp:extent cx="71323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ikon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2026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ncentive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lan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22"/>
          <w:szCs w:val="22"/>
          <w:b w:val="1"/>
          <w:bCs w:val="1"/>
          <w:color w:val="auto"/>
        </w:rPr>
        <w:t>EIKON THERAPEUTICS, INC. 2026 LONG-TERM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Stock Option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between Eikon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individual identified below as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evidences the grant of a stock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under the Eikon Therapeutics, Inc. 2026 Long-Term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This Agreement is subject to the terms of the Plan. To the extent that there is a conflict between the terms of this Agreement and the terms of the Plan, the terms of the Plan shall govern. </w:t>
      </w:r>
      <w:r>
        <w:rPr>
          <w:rFonts w:ascii="Times New Roman" w:cs="Times New Roman" w:eastAsia="Times New Roman" w:hAnsi="Times New Roman"/>
          <w:sz w:val="22"/>
          <w:szCs w:val="22"/>
          <w:b w:val="1"/>
          <w:bCs w:val="1"/>
          <w:color w:val="auto"/>
        </w:rPr>
        <w:t>By signature below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by electronic acknowledgement of this Option through the online platform designated by the Company for delivery of this Agreement (any such platform, the “Online Platform”), the Grantee agrees to all of the terms and conditions described in this Agreement and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GRANT</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60" w:type="dxa"/>
            <w:vAlign w:val="bottom"/>
            <w:tcBorders>
              <w:top w:val="single" w:sz="8" w:color="auto"/>
              <w:left w:val="single" w:sz="8" w:color="auto"/>
              <w:right w:val="single" w:sz="8" w:color="auto"/>
            </w:tcBorders>
          </w:tcPr>
          <w:p>
            <w:pPr>
              <w:ind w:left="120"/>
              <w:spacing w:after="0" w:line="228" w:lineRule="exact"/>
              <w:rPr>
                <w:sz w:val="20"/>
                <w:szCs w:val="20"/>
                <w:color w:val="auto"/>
              </w:rPr>
            </w:pPr>
            <w:r>
              <w:rPr>
                <w:rFonts w:ascii="Times New Roman" w:cs="Times New Roman" w:eastAsia="Times New Roman" w:hAnsi="Times New Roman"/>
                <w:sz w:val="22"/>
                <w:szCs w:val="22"/>
                <w:b w:val="1"/>
                <w:bCs w:val="1"/>
                <w:color w:val="auto"/>
              </w:rPr>
              <w:t>Name of Grantee (the</w:t>
            </w:r>
          </w:p>
        </w:tc>
        <w:tc>
          <w:tcPr>
            <w:tcW w:w="8540" w:type="dxa"/>
            <w:vAlign w:val="bottom"/>
            <w:tcBorders>
              <w:top w:val="single" w:sz="8" w:color="auto"/>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8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85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93"/>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286"/>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Address</w:t>
            </w:r>
          </w:p>
        </w:tc>
        <w:tc>
          <w:tcPr>
            <w:tcW w:w="8540" w:type="dxa"/>
            <w:vAlign w:val="bottom"/>
            <w:tcBorders>
              <w:right w:val="single" w:sz="8" w:color="auto"/>
            </w:tcBorders>
            <w:shd w:val="clear" w:color="auto" w:fill="F2F2F2"/>
          </w:tcPr>
          <w:p>
            <w:pPr>
              <w:spacing w:after="0"/>
              <w:rPr>
                <w:sz w:val="24"/>
                <w:szCs w:val="24"/>
                <w:color w:val="auto"/>
              </w:rPr>
            </w:pPr>
          </w:p>
        </w:tc>
        <w:tc>
          <w:tcPr>
            <w:tcW w:w="340" w:type="dxa"/>
            <w:vAlign w:val="bottom"/>
          </w:tcPr>
          <w:p>
            <w:pPr>
              <w:spacing w:after="0"/>
              <w:rPr>
                <w:sz w:val="24"/>
                <w:szCs w:val="24"/>
                <w:color w:val="auto"/>
              </w:rPr>
            </w:pPr>
          </w:p>
        </w:tc>
      </w:tr>
      <w:tr>
        <w:trPr>
          <w:trHeight w:val="88"/>
        </w:trPr>
        <w:tc>
          <w:tcPr>
            <w:tcW w:w="236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8540" w:type="dxa"/>
            <w:vAlign w:val="bottom"/>
            <w:tcBorders>
              <w:bottom w:val="single" w:sz="8" w:color="auto"/>
              <w:right w:val="single" w:sz="8" w:color="auto"/>
            </w:tcBorders>
            <w:shd w:val="clear" w:color="auto" w:fill="F2F2F2"/>
          </w:tcPr>
          <w:p>
            <w:pPr>
              <w:spacing w:after="0"/>
              <w:rPr>
                <w:sz w:val="7"/>
                <w:szCs w:val="7"/>
                <w:color w:val="auto"/>
              </w:rPr>
            </w:pPr>
          </w:p>
        </w:tc>
        <w:tc>
          <w:tcPr>
            <w:tcW w:w="340" w:type="dxa"/>
            <w:vAlign w:val="bottom"/>
          </w:tcPr>
          <w:p>
            <w:pPr>
              <w:spacing w:after="0"/>
              <w:rPr>
                <w:sz w:val="7"/>
                <w:szCs w:val="7"/>
                <w:color w:val="auto"/>
              </w:rPr>
            </w:pPr>
          </w:p>
        </w:tc>
      </w:tr>
      <w:tr>
        <w:trPr>
          <w:trHeight w:val="205"/>
        </w:trPr>
        <w:tc>
          <w:tcPr>
            <w:tcW w:w="2360" w:type="dxa"/>
            <w:vAlign w:val="bottom"/>
            <w:tcBorders>
              <w:left w:val="single" w:sz="8" w:color="auto"/>
              <w:right w:val="single" w:sz="8" w:color="auto"/>
            </w:tcBorders>
            <w:shd w:val="clear" w:color="auto" w:fill="F2F2F2"/>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No. of Shares Subject</w:t>
            </w:r>
          </w:p>
        </w:tc>
        <w:tc>
          <w:tcPr>
            <w:tcW w:w="8540" w:type="dxa"/>
            <w:vAlign w:val="bottom"/>
            <w:tcBorders>
              <w:right w:val="single" w:sz="8" w:color="auto"/>
            </w:tcBorders>
            <w:shd w:val="clear" w:color="auto" w:fill="F2F2F2"/>
          </w:tcPr>
          <w:p>
            <w:pPr>
              <w:spacing w:after="0"/>
              <w:rPr>
                <w:sz w:val="17"/>
                <w:szCs w:val="17"/>
                <w:color w:val="auto"/>
              </w:rPr>
            </w:pPr>
          </w:p>
        </w:tc>
        <w:tc>
          <w:tcPr>
            <w:tcW w:w="340" w:type="dxa"/>
            <w:vAlign w:val="bottom"/>
          </w:tcPr>
          <w:p>
            <w:pPr>
              <w:spacing w:after="0"/>
              <w:rPr>
                <w:sz w:val="17"/>
                <w:szCs w:val="17"/>
                <w:color w:val="auto"/>
              </w:rPr>
            </w:pPr>
          </w:p>
        </w:tc>
      </w:tr>
      <w:tr>
        <w:trPr>
          <w:trHeight w:val="243"/>
        </w:trPr>
        <w:tc>
          <w:tcPr>
            <w:tcW w:w="2360" w:type="dxa"/>
            <w:vAlign w:val="bottom"/>
            <w:tcBorders>
              <w:left w:val="single" w:sz="8" w:color="auto"/>
              <w:right w:val="single" w:sz="8" w:color="auto"/>
            </w:tcBorders>
            <w:shd w:val="clear" w:color="auto" w:fill="F2F2F2"/>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to the Option (“Option</w:t>
            </w:r>
          </w:p>
        </w:tc>
        <w:tc>
          <w:tcPr>
            <w:tcW w:w="8540" w:type="dxa"/>
            <w:vAlign w:val="bottom"/>
            <w:tcBorders>
              <w:right w:val="single" w:sz="8" w:color="auto"/>
            </w:tcBorders>
            <w:shd w:val="clear" w:color="auto" w:fill="F2F2F2"/>
          </w:tcPr>
          <w:p>
            <w:pPr>
              <w:spacing w:after="0"/>
              <w:rPr>
                <w:sz w:val="21"/>
                <w:szCs w:val="21"/>
                <w:color w:val="auto"/>
              </w:rPr>
            </w:pPr>
          </w:p>
        </w:tc>
        <w:tc>
          <w:tcPr>
            <w:tcW w:w="340" w:type="dxa"/>
            <w:vAlign w:val="bottom"/>
          </w:tcPr>
          <w:p>
            <w:pPr>
              <w:spacing w:after="0"/>
              <w:rPr>
                <w:sz w:val="21"/>
                <w:szCs w:val="21"/>
                <w:color w:val="auto"/>
              </w:rPr>
            </w:pPr>
          </w:p>
        </w:tc>
      </w:tr>
      <w:tr>
        <w:trPr>
          <w:trHeight w:val="286"/>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8540" w:type="dxa"/>
            <w:vAlign w:val="bottom"/>
            <w:tcBorders>
              <w:right w:val="single" w:sz="8" w:color="auto"/>
            </w:tcBorders>
            <w:shd w:val="clear" w:color="auto" w:fill="F2F2F2"/>
          </w:tcPr>
          <w:p>
            <w:pPr>
              <w:spacing w:after="0"/>
              <w:rPr>
                <w:sz w:val="24"/>
                <w:szCs w:val="24"/>
                <w:color w:val="auto"/>
              </w:rPr>
            </w:pPr>
          </w:p>
        </w:tc>
        <w:tc>
          <w:tcPr>
            <w:tcW w:w="340" w:type="dxa"/>
            <w:vAlign w:val="bottom"/>
          </w:tcPr>
          <w:p>
            <w:pPr>
              <w:spacing w:after="0"/>
              <w:rPr>
                <w:sz w:val="24"/>
                <w:szCs w:val="24"/>
                <w:color w:val="auto"/>
              </w:rPr>
            </w:pPr>
          </w:p>
        </w:tc>
      </w:tr>
      <w:tr>
        <w:trPr>
          <w:trHeight w:val="96"/>
        </w:trPr>
        <w:tc>
          <w:tcPr>
            <w:tcW w:w="23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8540" w:type="dxa"/>
            <w:vAlign w:val="bottom"/>
            <w:tcBorders>
              <w:bottom w:val="single" w:sz="8" w:color="auto"/>
              <w:right w:val="single" w:sz="8" w:color="auto"/>
            </w:tcBorders>
            <w:shd w:val="clear" w:color="auto" w:fill="F2F2F2"/>
          </w:tcPr>
          <w:p>
            <w:pPr>
              <w:spacing w:after="0"/>
              <w:rPr>
                <w:sz w:val="8"/>
                <w:szCs w:val="8"/>
                <w:color w:val="auto"/>
              </w:rPr>
            </w:pPr>
          </w:p>
        </w:tc>
        <w:tc>
          <w:tcPr>
            <w:tcW w:w="340" w:type="dxa"/>
            <w:vAlign w:val="bottom"/>
          </w:tcPr>
          <w:p>
            <w:pPr>
              <w:spacing w:after="0"/>
              <w:rPr>
                <w:sz w:val="8"/>
                <w:szCs w:val="8"/>
                <w:color w:val="auto"/>
              </w:rPr>
            </w:pPr>
          </w:p>
        </w:tc>
      </w:tr>
      <w:tr>
        <w:trPr>
          <w:trHeight w:val="205"/>
        </w:trPr>
        <w:tc>
          <w:tcPr>
            <w:tcW w:w="23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Exercise Price per</w:t>
            </w:r>
          </w:p>
        </w:tc>
        <w:tc>
          <w:tcPr>
            <w:tcW w:w="85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43"/>
        </w:trPr>
        <w:tc>
          <w:tcPr>
            <w:tcW w:w="23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Share (“Exercise</w:t>
            </w:r>
          </w:p>
        </w:tc>
        <w:tc>
          <w:tcPr>
            <w:tcW w:w="85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8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Price”)</w:t>
            </w:r>
          </w:p>
        </w:tc>
        <w:tc>
          <w:tcPr>
            <w:tcW w:w="85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96"/>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280"/>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8540" w:type="dxa"/>
            <w:vAlign w:val="bottom"/>
            <w:tcBorders>
              <w:right w:val="single" w:sz="8" w:color="auto"/>
            </w:tcBorders>
            <w:shd w:val="clear" w:color="auto" w:fill="F2F2F2"/>
          </w:tcPr>
          <w:p>
            <w:pPr>
              <w:spacing w:after="0"/>
              <w:rPr>
                <w:sz w:val="24"/>
                <w:szCs w:val="24"/>
                <w:color w:val="auto"/>
              </w:rPr>
            </w:pPr>
          </w:p>
        </w:tc>
        <w:tc>
          <w:tcPr>
            <w:tcW w:w="340" w:type="dxa"/>
            <w:vAlign w:val="bottom"/>
          </w:tcPr>
          <w:p>
            <w:pPr>
              <w:spacing w:after="0"/>
              <w:rPr>
                <w:sz w:val="24"/>
                <w:szCs w:val="24"/>
                <w:color w:val="auto"/>
              </w:rPr>
            </w:pPr>
          </w:p>
        </w:tc>
      </w:tr>
      <w:tr>
        <w:trPr>
          <w:trHeight w:val="92"/>
        </w:trPr>
        <w:tc>
          <w:tcPr>
            <w:tcW w:w="236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8540" w:type="dxa"/>
            <w:vAlign w:val="bottom"/>
            <w:tcBorders>
              <w:bottom w:val="single" w:sz="8" w:color="auto"/>
              <w:right w:val="single" w:sz="8" w:color="auto"/>
            </w:tcBorders>
            <w:shd w:val="clear" w:color="auto" w:fill="F2F2F2"/>
          </w:tcPr>
          <w:p>
            <w:pPr>
              <w:spacing w:after="0"/>
              <w:rPr>
                <w:sz w:val="7"/>
                <w:szCs w:val="7"/>
                <w:color w:val="auto"/>
              </w:rPr>
            </w:pPr>
          </w:p>
        </w:tc>
        <w:tc>
          <w:tcPr>
            <w:tcW w:w="340" w:type="dxa"/>
            <w:vAlign w:val="bottom"/>
          </w:tcPr>
          <w:p>
            <w:pPr>
              <w:spacing w:after="0"/>
              <w:rPr>
                <w:sz w:val="7"/>
                <w:szCs w:val="7"/>
                <w:color w:val="auto"/>
              </w:rPr>
            </w:pPr>
          </w:p>
        </w:tc>
      </w:tr>
      <w:tr>
        <w:trPr>
          <w:trHeight w:val="205"/>
        </w:trPr>
        <w:tc>
          <w:tcPr>
            <w:tcW w:w="23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Vesting</w:t>
            </w:r>
          </w:p>
        </w:tc>
        <w:tc>
          <w:tcPr>
            <w:tcW w:w="85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8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Commencement Date</w:t>
            </w:r>
          </w:p>
        </w:tc>
        <w:tc>
          <w:tcPr>
            <w:tcW w:w="85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96"/>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209"/>
        </w:trPr>
        <w:tc>
          <w:tcPr>
            <w:tcW w:w="2360" w:type="dxa"/>
            <w:vAlign w:val="bottom"/>
            <w:tcBorders>
              <w:left w:val="single" w:sz="8" w:color="auto"/>
              <w:right w:val="single" w:sz="8" w:color="auto"/>
            </w:tcBorders>
            <w:shd w:val="clear" w:color="auto" w:fill="F2F2F2"/>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Vesting Schedule</w:t>
            </w:r>
          </w:p>
        </w:tc>
        <w:tc>
          <w:tcPr>
            <w:tcW w:w="8540" w:type="dxa"/>
            <w:vAlign w:val="bottom"/>
            <w:tcBorders>
              <w:right w:val="single" w:sz="8" w:color="auto"/>
            </w:tcBorders>
            <w:shd w:val="clear" w:color="auto" w:fill="F2F2F2"/>
          </w:tcPr>
          <w:p>
            <w:pPr>
              <w:ind w:left="80"/>
              <w:spacing w:after="0" w:line="209" w:lineRule="exact"/>
              <w:rPr>
                <w:sz w:val="20"/>
                <w:szCs w:val="20"/>
                <w:color w:val="auto"/>
              </w:rPr>
            </w:pPr>
            <w:r>
              <w:rPr>
                <w:rFonts w:ascii="Times New Roman" w:cs="Times New Roman" w:eastAsia="Times New Roman" w:hAnsi="Times New Roman"/>
                <w:sz w:val="22"/>
                <w:szCs w:val="22"/>
                <w:color w:val="auto"/>
              </w:rPr>
              <w:t>The Option Shares shall vest and become exercisable as follows, subject to the Grantee’s</w:t>
            </w:r>
          </w:p>
        </w:tc>
        <w:tc>
          <w:tcPr>
            <w:tcW w:w="340" w:type="dxa"/>
            <w:vAlign w:val="bottom"/>
          </w:tcPr>
          <w:p>
            <w:pPr>
              <w:spacing w:after="0"/>
              <w:rPr>
                <w:sz w:val="18"/>
                <w:szCs w:val="18"/>
                <w:color w:val="auto"/>
              </w:rPr>
            </w:pPr>
          </w:p>
        </w:tc>
      </w:tr>
      <w:tr>
        <w:trPr>
          <w:trHeight w:val="282"/>
        </w:trPr>
        <w:tc>
          <w:tcPr>
            <w:tcW w:w="2360" w:type="dxa"/>
            <w:vAlign w:val="bottom"/>
            <w:tcBorders>
              <w:left w:val="single" w:sz="8" w:color="auto"/>
              <w:right w:val="single" w:sz="8" w:color="auto"/>
            </w:tcBorders>
            <w:shd w:val="clear" w:color="auto" w:fill="F2F2F2"/>
          </w:tcPr>
          <w:p>
            <w:pPr>
              <w:spacing w:after="0"/>
              <w:rPr>
                <w:sz w:val="24"/>
                <w:szCs w:val="24"/>
                <w:color w:val="auto"/>
              </w:rPr>
            </w:pPr>
          </w:p>
        </w:tc>
        <w:tc>
          <w:tcPr>
            <w:tcW w:w="8540" w:type="dxa"/>
            <w:vAlign w:val="bottom"/>
            <w:tcBorders>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2"/>
                <w:szCs w:val="22"/>
                <w:color w:val="auto"/>
              </w:rPr>
              <w:t>Continuous Service through the applicable vesting dates: [___________________________].</w:t>
            </w:r>
          </w:p>
        </w:tc>
        <w:tc>
          <w:tcPr>
            <w:tcW w:w="340" w:type="dxa"/>
            <w:vAlign w:val="bottom"/>
          </w:tcPr>
          <w:p>
            <w:pPr>
              <w:spacing w:after="0"/>
              <w:rPr>
                <w:sz w:val="24"/>
                <w:szCs w:val="24"/>
                <w:color w:val="auto"/>
              </w:rPr>
            </w:pPr>
          </w:p>
        </w:tc>
      </w:tr>
      <w:tr>
        <w:trPr>
          <w:trHeight w:val="312"/>
        </w:trPr>
        <w:tc>
          <w:tcPr>
            <w:tcW w:w="2360" w:type="dxa"/>
            <w:vAlign w:val="bottom"/>
            <w:tcBorders>
              <w:left w:val="single" w:sz="8" w:color="auto"/>
              <w:right w:val="single" w:sz="8" w:color="auto"/>
            </w:tcBorders>
            <w:shd w:val="clear" w:color="auto" w:fill="F2F2F2"/>
          </w:tcPr>
          <w:p>
            <w:pPr>
              <w:spacing w:after="0"/>
              <w:rPr>
                <w:sz w:val="24"/>
                <w:szCs w:val="24"/>
                <w:color w:val="auto"/>
              </w:rPr>
            </w:pPr>
          </w:p>
        </w:tc>
        <w:tc>
          <w:tcPr>
            <w:tcW w:w="8540" w:type="dxa"/>
            <w:vAlign w:val="bottom"/>
            <w:tcBorders>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2"/>
                <w:szCs w:val="22"/>
                <w:color w:val="auto"/>
              </w:rPr>
              <w:t>In the event of termination of the Grantee’s Continuous Service, unvested Option Shares shall</w:t>
            </w:r>
          </w:p>
        </w:tc>
        <w:tc>
          <w:tcPr>
            <w:tcW w:w="340" w:type="dxa"/>
            <w:vAlign w:val="bottom"/>
          </w:tcPr>
          <w:p>
            <w:pPr>
              <w:spacing w:after="0"/>
              <w:rPr>
                <w:sz w:val="24"/>
                <w:szCs w:val="24"/>
                <w:color w:val="auto"/>
              </w:rPr>
            </w:pPr>
          </w:p>
        </w:tc>
      </w:tr>
      <w:tr>
        <w:trPr>
          <w:trHeight w:val="282"/>
        </w:trPr>
        <w:tc>
          <w:tcPr>
            <w:tcW w:w="2360" w:type="dxa"/>
            <w:vAlign w:val="bottom"/>
            <w:tcBorders>
              <w:left w:val="single" w:sz="8" w:color="auto"/>
              <w:right w:val="single" w:sz="8" w:color="auto"/>
            </w:tcBorders>
            <w:shd w:val="clear" w:color="auto" w:fill="F2F2F2"/>
          </w:tcPr>
          <w:p>
            <w:pPr>
              <w:spacing w:after="0"/>
              <w:rPr>
                <w:sz w:val="24"/>
                <w:szCs w:val="24"/>
                <w:color w:val="auto"/>
              </w:rPr>
            </w:pPr>
          </w:p>
        </w:tc>
        <w:tc>
          <w:tcPr>
            <w:tcW w:w="8540" w:type="dxa"/>
            <w:vAlign w:val="bottom"/>
            <w:tcBorders>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2"/>
                <w:szCs w:val="22"/>
                <w:color w:val="auto"/>
              </w:rPr>
              <w:t>be forfeited.</w:t>
            </w:r>
          </w:p>
        </w:tc>
        <w:tc>
          <w:tcPr>
            <w:tcW w:w="340" w:type="dxa"/>
            <w:vAlign w:val="bottom"/>
          </w:tcPr>
          <w:p>
            <w:pPr>
              <w:spacing w:after="0"/>
              <w:rPr>
                <w:sz w:val="24"/>
                <w:szCs w:val="24"/>
                <w:color w:val="auto"/>
              </w:rPr>
            </w:pPr>
          </w:p>
        </w:tc>
      </w:tr>
      <w:tr>
        <w:trPr>
          <w:trHeight w:val="96"/>
        </w:trPr>
        <w:tc>
          <w:tcPr>
            <w:tcW w:w="23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8540" w:type="dxa"/>
            <w:vAlign w:val="bottom"/>
            <w:tcBorders>
              <w:bottom w:val="single" w:sz="8" w:color="auto"/>
              <w:right w:val="single" w:sz="8" w:color="auto"/>
            </w:tcBorders>
            <w:shd w:val="clear" w:color="auto" w:fill="F2F2F2"/>
          </w:tcPr>
          <w:p>
            <w:pPr>
              <w:spacing w:after="0"/>
              <w:rPr>
                <w:sz w:val="8"/>
                <w:szCs w:val="8"/>
                <w:color w:val="auto"/>
              </w:rPr>
            </w:pPr>
          </w:p>
        </w:tc>
        <w:tc>
          <w:tcPr>
            <w:tcW w:w="340" w:type="dxa"/>
            <w:vAlign w:val="bottom"/>
          </w:tcPr>
          <w:p>
            <w:pPr>
              <w:spacing w:after="0"/>
              <w:rPr>
                <w:sz w:val="8"/>
                <w:szCs w:val="8"/>
                <w:color w:val="auto"/>
              </w:rPr>
            </w:pPr>
          </w:p>
        </w:tc>
      </w:tr>
      <w:tr>
        <w:trPr>
          <w:trHeight w:val="280"/>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Expiration Date</w:t>
            </w:r>
          </w:p>
        </w:tc>
        <w:tc>
          <w:tcPr>
            <w:tcW w:w="8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day immediately preceding the tenth anniversary of the Grant Date</w:t>
            </w:r>
          </w:p>
        </w:tc>
        <w:tc>
          <w:tcPr>
            <w:tcW w:w="340" w:type="dxa"/>
            <w:vAlign w:val="bottom"/>
          </w:tcPr>
          <w:p>
            <w:pPr>
              <w:spacing w:after="0"/>
              <w:rPr>
                <w:sz w:val="24"/>
                <w:szCs w:val="24"/>
                <w:color w:val="auto"/>
              </w:rPr>
            </w:pPr>
          </w:p>
        </w:tc>
      </w:tr>
      <w:tr>
        <w:trPr>
          <w:trHeight w:val="92"/>
        </w:trPr>
        <w:tc>
          <w:tcPr>
            <w:tcW w:w="2360" w:type="dxa"/>
            <w:vAlign w:val="bottom"/>
            <w:tcBorders>
              <w:left w:val="single" w:sz="8" w:color="auto"/>
              <w:bottom w:val="single" w:sz="8" w:color="auto"/>
              <w:right w:val="single" w:sz="8" w:color="auto"/>
            </w:tcBorders>
          </w:tcPr>
          <w:p>
            <w:pPr>
              <w:spacing w:after="0"/>
              <w:rPr>
                <w:sz w:val="7"/>
                <w:szCs w:val="7"/>
                <w:color w:val="auto"/>
              </w:rPr>
            </w:pPr>
          </w:p>
        </w:tc>
        <w:tc>
          <w:tcPr>
            <w:tcW w:w="8540" w:type="dxa"/>
            <w:vAlign w:val="bottom"/>
            <w:tcBorders>
              <w:bottom w:val="single" w:sz="8" w:color="auto"/>
              <w:right w:val="single" w:sz="8" w:color="auto"/>
            </w:tcBorders>
          </w:tcPr>
          <w:p>
            <w:pPr>
              <w:spacing w:after="0"/>
              <w:rPr>
                <w:sz w:val="7"/>
                <w:szCs w:val="7"/>
                <w:color w:val="auto"/>
              </w:rPr>
            </w:pPr>
          </w:p>
        </w:tc>
        <w:tc>
          <w:tcPr>
            <w:tcW w:w="340" w:type="dxa"/>
            <w:vAlign w:val="bottom"/>
          </w:tcPr>
          <w:p>
            <w:pPr>
              <w:spacing w:after="0"/>
              <w:rPr>
                <w:sz w:val="7"/>
                <w:szCs w:val="7"/>
                <w:color w:val="auto"/>
              </w:rPr>
            </w:pPr>
          </w:p>
        </w:tc>
      </w:tr>
      <w:tr>
        <w:trPr>
          <w:trHeight w:val="280"/>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Type of Option</w:t>
            </w:r>
          </w:p>
        </w:tc>
        <w:tc>
          <w:tcPr>
            <w:tcW w:w="8540" w:type="dxa"/>
            <w:vAlign w:val="bottom"/>
            <w:tcBorders>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2"/>
                <w:szCs w:val="22"/>
                <w:color w:val="auto"/>
              </w:rPr>
              <w:t>[Incentive Stock Option / Non-Qualified Stock Option]</w:t>
            </w:r>
          </w:p>
        </w:tc>
        <w:tc>
          <w:tcPr>
            <w:tcW w:w="340" w:type="dxa"/>
            <w:vAlign w:val="bottom"/>
          </w:tcPr>
          <w:p>
            <w:pPr>
              <w:spacing w:after="0"/>
              <w:rPr>
                <w:sz w:val="24"/>
                <w:szCs w:val="24"/>
                <w:color w:val="auto"/>
              </w:rPr>
            </w:pPr>
          </w:p>
        </w:tc>
      </w:tr>
      <w:tr>
        <w:trPr>
          <w:trHeight w:val="92"/>
        </w:trPr>
        <w:tc>
          <w:tcPr>
            <w:tcW w:w="236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8540" w:type="dxa"/>
            <w:vAlign w:val="bottom"/>
            <w:tcBorders>
              <w:bottom w:val="single" w:sz="8" w:color="auto"/>
              <w:right w:val="single" w:sz="8" w:color="auto"/>
            </w:tcBorders>
            <w:shd w:val="clear" w:color="auto" w:fill="F2F2F2"/>
          </w:tcPr>
          <w:p>
            <w:pPr>
              <w:spacing w:after="0"/>
              <w:rPr>
                <w:sz w:val="7"/>
                <w:szCs w:val="7"/>
                <w:color w:val="auto"/>
              </w:rPr>
            </w:pPr>
          </w:p>
        </w:tc>
        <w:tc>
          <w:tcPr>
            <w:tcW w:w="340" w:type="dxa"/>
            <w:vAlign w:val="bottom"/>
          </w:tcPr>
          <w:p>
            <w:pPr>
              <w:spacing w:after="0"/>
              <w:rPr>
                <w:sz w:val="7"/>
                <w:szCs w:val="7"/>
                <w:color w:val="auto"/>
              </w:rPr>
            </w:pPr>
          </w:p>
        </w:tc>
      </w:tr>
      <w:tr>
        <w:trPr>
          <w:trHeight w:val="210"/>
        </w:trPr>
        <w:tc>
          <w:tcPr>
            <w:tcW w:w="23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in this Agreement have the defined meanings set forth in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Grant of Option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the Plan and subject to the terms of this Agreement, the Company grants to the Grantee, as of the Grant Date, the Option to purchase the Option Shares at the Exercise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Type of Option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designated above as a “Non-Qualified Stock Option,” the Option is not an incentive stock option under Section 422 of the Code (an “</w:t>
      </w:r>
      <w:r>
        <w:rPr>
          <w:rFonts w:ascii="Times New Roman" w:cs="Times New Roman" w:eastAsia="Times New Roman" w:hAnsi="Times New Roman"/>
          <w:sz w:val="22"/>
          <w:szCs w:val="22"/>
          <w:b w:val="1"/>
          <w:bCs w:val="1"/>
          <w:color w:val="auto"/>
        </w:rPr>
        <w:t>ISO</w:t>
      </w:r>
      <w:r>
        <w:rPr>
          <w:rFonts w:ascii="Times New Roman" w:cs="Times New Roman" w:eastAsia="Times New Roman" w:hAnsi="Times New Roman"/>
          <w:sz w:val="22"/>
          <w:szCs w:val="22"/>
          <w:color w:val="auto"/>
        </w:rPr>
        <w:t>”) and shall be treated as a non-qualified stock option. If designated above as an “Incentive Stock Option,” the option is intended to be an ISO; however, to the extent that the Option does not satisfy the requirements applicable to ISOs, the Option shall be treated as a non-qualified stock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Vesting; Termination of Option</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Requirement of Vesting</w:t>
      </w:r>
      <w:r>
        <w:rPr>
          <w:rFonts w:ascii="Times New Roman" w:cs="Times New Roman" w:eastAsia="Times New Roman" w:hAnsi="Times New Roman"/>
          <w:sz w:val="22"/>
          <w:szCs w:val="22"/>
          <w:color w:val="auto"/>
        </w:rPr>
        <w:t>. The Option may be exercised before termination or expiration to the extent that the Option has become vested, subject to the terms of this Agreement and the Plan.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Vesting of Option</w:t>
      </w:r>
      <w:r>
        <w:rPr>
          <w:rFonts w:ascii="Times New Roman" w:cs="Times New Roman" w:eastAsia="Times New Roman" w:hAnsi="Times New Roman"/>
          <w:sz w:val="22"/>
          <w:szCs w:val="22"/>
          <w:color w:val="auto"/>
        </w:rPr>
        <w:t>. The Option shall vest and become exercisable in one or more installments pursuant to the vesting schedule specified in the Notice of Grant.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Termination of the Option</w:t>
      </w:r>
      <w:r>
        <w:rPr>
          <w:rFonts w:ascii="Times New Roman" w:cs="Times New Roman" w:eastAsia="Times New Roman" w:hAnsi="Times New Roman"/>
          <w:sz w:val="22"/>
          <w:szCs w:val="22"/>
          <w:color w:val="auto"/>
        </w:rPr>
        <w:t>. The Option, if not previously exercised, shall terminate on the Expiration Date, except that, if the Grantee’s Continuous Service terminates while the Option is outstanding, the unvested portion of the Option shall terminate on the date that the Grantee’s Continuous Service terminates (except as otherwise determined by the Administrator), and the vested portion of the Option shall be exercisable as set forth below:</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Grantee’s Continuous Service terminates due to a termination for Cause, the Option shall terminate (whether vested or unvested) immediately upon the date of such termination.</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the Grantee’s Continuous Service terminates on account of death, the Option shall be exercisable by the Grantee’s legal representative or any other person who acquired the right to exercise the Option by reason of the Grantee’s death, as applicable, for a period of twelve (12) months from the date of the Grantee’s death or until the Expiration Date, if earlier.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Grantee’s Continuous Service terminates on account of Disability, the Option shall be exercisable by the Grantee for a period of twelve (12) months from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2"/>
          <w:szCs w:val="22"/>
          <w:color w:val="auto"/>
        </w:rPr>
        <w:t>such termination or until the Expiration Date, if earlier; provided, however, that in the event the Grantee dies within the twelve</w:t>
      </w:r>
    </w:p>
    <w:p>
      <w:pPr>
        <w:spacing w:after="0" w:line="14" w:lineRule="exact"/>
        <w:rPr>
          <w:sz w:val="20"/>
          <w:szCs w:val="20"/>
          <w:color w:val="auto"/>
        </w:rPr>
      </w:pPr>
    </w:p>
    <w:p>
      <w:pPr>
        <w:ind w:firstLine="8"/>
        <w:spacing w:after="0" w:line="237" w:lineRule="auto"/>
        <w:tabs>
          <w:tab w:leader="none" w:pos="4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after such termination, the period for exercise will be extended until the date twelve (12) months after the Grantee’s death or until the Expiration Date, if earlier;</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the Grantee’s Continuous Service terminates for any reason other than as described above in clauses (i), (ii), or (iii), the Option may be exercised, to the extent vested, by the Grantee for a period of three (3) months from the date of such termination or until the Expiration Date, if earlier; provided, however, that in the event the Grantee dies within the twelve (12) month period after such termination, the period for exercise will be extended until the date twelve (12) months after the Grantee’s death or until the Expiration Date, if earlier.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Exercise of Option</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Option may be exercised, in whole or in part, only by (i) the completion, execution, and delivery to the Company of a notice of exercise in the form supplied by the Company (which may be electronic or through the Online Platform); (ii) the payment to the Company, pursuant to the terms of this Agreement, of an amount equal to the Exercise Price multiplied by the number of Option Shares being purchased as specified in the notice of exercise; and (iii) the satisfaction by the Grantee, in a manner acceptable to the Company, of any withholding liability under any federal, state, local, non-U.S., or other law arising in connection with exercise of the Option. The notice of exercise shall be given in the manner specified in Section 11 (Notices) (or such other manner as may be specified by the Administrator) but any exercise of the Option shall be effective only when the items required by this Section 5(a) are actually received by the Company. Notwithstanding anything to the contrary in this Agreement, the Option may be exercised only if compliance with all applicable federal, state, and other securities laws can be effected.</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To the extent permitted by applicable law, payment of the aggregate Exercise Price and any applicable tax withholding may be made: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in cash, wire transfer, electronic funds transfer, or by check payable to the order of the Company for an amount in U.S. dollars equal to the aggregate Exercise Price of such Option Shares;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by delivery of Shares held by the Grantee for the requisite period necessary to avoid a charge to the Company’s earnings for financial reporting purposes, as determined by the Administrator in its discretion, and having an aggregate Fair Market Value equal to the amount of cash that would otherwise be required to pay the aggregate Exercise Price;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by Sell-to-Cover, or</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upon approval by the Administrator, through a net exercise arrangement pursuant to which the Company will reduce the number of Shares issuable upon exercise by the largest whole number of Shares with a Fair Market Value that does not exceed the sum of the aggregate Exercise Price and the applicable federal, state, local and/or non-U.S. income and employment taxes required to be withheld by reason of such exercise (“</w:t>
      </w:r>
      <w:r>
        <w:rPr>
          <w:rFonts w:ascii="Times New Roman" w:cs="Times New Roman" w:eastAsia="Times New Roman" w:hAnsi="Times New Roman"/>
          <w:sz w:val="22"/>
          <w:szCs w:val="22"/>
          <w:b w:val="1"/>
          <w:bCs w:val="1"/>
          <w:color w:val="auto"/>
        </w:rPr>
        <w:t>Net Exercise</w:t>
      </w:r>
      <w:r>
        <w:rPr>
          <w:rFonts w:ascii="Times New Roman" w:cs="Times New Roman" w:eastAsia="Times New Roman" w:hAnsi="Times New Roman"/>
          <w:sz w:val="22"/>
          <w:szCs w:val="22"/>
          <w:color w:val="auto"/>
        </w:rPr>
        <w:t>”), provided that any remaining balance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color w:val="auto"/>
        </w:rPr>
        <w:t>the aggregate Exercise Price not satisfied by the Net Exercise must be paid in cash or other permitted form of payment,</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each case, such payment method shall be executed pursuant to the procedures established by the Administrator for this purpose and subject to the Company’s policies and procedures related to the trading of Company securities. Payment may also be made by combining the above methods, to the extent permitted by the Administrator. To the extent that Shares are used in making full or partial payment of the Exercise Price, each such Share will be valued at the Fair Market Value. Any overpayment will be promptly refunded, and any underpayment will be deemed an exercise of such lesser whole number of Shares as the amount paid is sufficient to purchase.</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Except as otherwise provided in the Plan, upon any exercise of the Option by the Grantee or as soon thereafter as is practicable, such number of Shares as the Grantee has then elected to purchase shall be uncertificated shares recorded in the books of the Company (or as applicable, its transfer agent or stock plan administrator) or, in the Company’s discretion, shall be represented by a certificate or certificates registered in the name of the Grantee and issued or delivered by the Company. Such Shares shall bear such legends as the Company deems appropriate.</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in its discretion, have the right to deduct or withhold from payments of any kind otherwise due to the Grantee, or require the Grantee to remit to the Company, an amount sufficient to satisfy taxes imposed under the laws of any country, state, province, city, or other jurisdiction, including but not limited to income taxes, capital gain taxes, transfer taxes, and social security contributions that are required by law to be withheld with respect to the Plan, exercise of the Option, payment of Shares under this Agreement, the sale of Shares acquired hereunder, and/or the payment of dividends on Shares acquired hereunder, as applicable. A sufficient number of the Shares resulting from payout of this Option at exercise may, in the Company’s discretion, be retained by the Company to satisfy any tax-withholding obligation.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Restrictions on Transfer of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Option and the rights and privileges conferred hereby shall not be transferred, assigned, pledged, or otherwise encumbered in any way (whether by operation of law or otherwise), other than by will or by the laws of descent and distribution. The Option shall be exercisable only by the Grantee during the Grantee’s lifetime. For this purpose, any reference to the Grantee shall (when applicable) be deemed to be and include references to the Grantee’s estate, executors or administrators, personal or legal representatives, and transferees (direct or indirect). Any person to whom the Option is transferred in accordance with this Agreement shall be bound by all provisions of the Plan and this Agreement. Upon any attempt to transfer, assign, pledge, or otherwise encumber the Option or any right or privilege conferred hereby contrary to the provisions hereof, the Option and the rights and privileges conferred hereby shall immediately become null and void.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number of Option Shares as to which the Option has not been exercised, the Exercise Price, and the type of stock or other consideration to be received on exercise of the Option shall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2"/>
          <w:szCs w:val="22"/>
          <w:color w:val="auto"/>
        </w:rPr>
        <w:t>such adjustment, pursuant to the Plan, in the manner determined to be appropriate by the Administrator, in its sole discretion.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adjustment determined to be appropriate by the Administrator shall be conclusive and shall be binding on the Grantee.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Rights Prior to Exercise</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Grantee will have no rights as a stockholder with respect to the Option Shares unless and until the Shares are issued to the Grantee pursuant to the exercise of the Option.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Clawback</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Grantee acknowledges and agrees that this Award may be subject to recoupment or clawback by the Company in accordance with the Company’s recoupment, clawback or similar policy as such may be in effect from time to time, as well as any similar provisions of applicable law, or Securities and Exchange Commission rule or regulation, or stock exchange requirement, which could in certain circumstances require repayment or forfeiture of the Award or any Shares or other cash or property received with respect to the Award (including any value received from a disposition of Shares acquired upon exercise of the Award).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Guarantee of Continuing Service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the grant of this Option evidenced by this Agreement nor any term or provision of this Agreement or the Plan shall constitute or be evidence of any understanding, express or implied, on the part of the Company or any Subsidiary or Parent to employ or retain the Grantee for any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notices, requests, consents, and other communications shall be in writing and be deemed given (a) when delivered personally;</w:t>
      </w:r>
    </w:p>
    <w:p>
      <w:pPr>
        <w:spacing w:after="0" w:line="26" w:lineRule="exact"/>
        <w:rPr>
          <w:sz w:val="20"/>
          <w:szCs w:val="20"/>
          <w:color w:val="auto"/>
        </w:rPr>
      </w:pPr>
    </w:p>
    <w:p>
      <w:pPr>
        <w:jc w:val="both"/>
        <w:ind w:firstLine="8"/>
        <w:spacing w:after="0" w:line="233" w:lineRule="auto"/>
        <w:tabs>
          <w:tab w:leader="none" w:pos="31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sent by email, by facsimile transmission, or other electronic means (as described in Section 12 (Electronic Delivery)); or (c) when received, if sent via courier service or mailed by first class registered or certified mail, postage prepaid. Notices to the Company or the Grantee shall be sent to the addresses, facsimile numbers, or email addresses listed on the Online Platform, as applicable, or to such other address, facsimile number, or email address as such party may designate by a notice delivered to the other party hereto, including through the Online Platform.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Company, the Plan, this Option, or current or future participation in the Plan, and any other documents that the Company is required to deliver to its security holders (including, without limitation, disclosures that may be required by the Securities and Exchange Commission), by email or by other electronic means. The Grantee hereby consents to (a) conduct business electronically, (b) receive such documents and notices by such electronic delivery, and (c) sign documents electronically; and the Grantee hereby agrees to participate in the Plan through an online or electronic capitalization administration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6" w:name="page287"/>
    <w:bookmarkEnd w:id="286"/>
    <w:p>
      <w:pPr>
        <w:ind w:right="860"/>
        <w:spacing w:after="0" w:line="435" w:lineRule="auto"/>
        <w:rPr>
          <w:sz w:val="20"/>
          <w:szCs w:val="20"/>
          <w:color w:val="auto"/>
        </w:rPr>
      </w:pPr>
      <w:r>
        <w:rPr>
          <w:rFonts w:ascii="Times New Roman" w:cs="Times New Roman" w:eastAsia="Times New Roman" w:hAnsi="Times New Roman"/>
          <w:sz w:val="22"/>
          <w:szCs w:val="22"/>
          <w:color w:val="auto"/>
        </w:rPr>
        <w:t xml:space="preserve">established and maintained by the Company or a third party designated by the Company, including the Online Platform. </w:t>
      </w:r>
      <w:r>
        <w:rPr>
          <w:rFonts w:ascii="Times New Roman" w:cs="Times New Roman" w:eastAsia="Times New Roman" w:hAnsi="Times New Roman"/>
          <w:sz w:val="22"/>
          <w:szCs w:val="22"/>
          <w:b w:val="1"/>
          <w:bCs w:val="1"/>
          <w:u w:val="single" w:color="auto"/>
          <w:color w:val="auto"/>
        </w:rPr>
        <w:t>Data Privacy</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Grantee acknowledges and agrees that the Company and its affiliates will process and retain certain personal data for the purposes of (a) calculating Awards, (b) monitoring Award terms and conditions, and (c) otherwise administering the Plan and Awards made under it. Such personal data may include, among other things, the Grantee’s address, email address, social security number, pay data, job title, and employment dates. The Grantee consents to such processing, and to the sharing of such personal data with the Company, its affiliates, its agents, its advisers, its regulators, and tax authorities, wherever appropriate.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Entire Agreement; Amendment; Enforcement of Rights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This Agreement, together with the Plan, sets forth the entire agreement and understanding between the 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Administrator may amend, modify, or terminate the Agreement at any time and for any reason. The Grantee’s consent to such action shall be required, except as permitted or contemplated under the Plan. The failure by either party to enforce any rights under this Agreement shall not be construed as a waiver of any rights of such party.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Successors and Assigns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rights and benefits of this Agreement shall inure to the benefit of, and be enforceable by the Company’s successors and assigns. The rights and obligations of the Grantee under this Agreement may be assigned only with the prior written consent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provision of the Agreement is, becomes, or is deemed to be invalid, illegal, or unenforceable in any jurisdiction or as to the Grantee, such provision shall be construed or deemed amended to conform with applicable law, or if the provision cannot be so construed or deemed amended without, in the sole discretion of the Administrator, materially altering the intent of the Agreement, such provision shall be severed as to the jurisdiction or the Grantee and the remainder of the Agreement shall remain in full force and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Governing Law</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validity and construction of the Plan and the Agreement shall be governed by the laws of the State of Delaware, excluding any conflicts or choice of law rules or principles that might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7" w:name="page288"/>
    <w:bookmarkEnd w:id="287"/>
    <w:p>
      <w:pPr>
        <w:ind w:right="260"/>
        <w:spacing w:after="0" w:line="435" w:lineRule="auto"/>
        <w:rPr>
          <w:sz w:val="20"/>
          <w:szCs w:val="20"/>
          <w:color w:val="auto"/>
        </w:rPr>
      </w:pPr>
      <w:r>
        <w:rPr>
          <w:rFonts w:ascii="Times New Roman" w:cs="Times New Roman" w:eastAsia="Times New Roman" w:hAnsi="Times New Roman"/>
          <w:sz w:val="22"/>
          <w:szCs w:val="22"/>
          <w:color w:val="auto"/>
        </w:rPr>
        <w:t xml:space="preserve">refer construction or interpretation of any provision of the Plan or the Agreement to the substantive law of another jurisdiction. </w:t>
      </w:r>
      <w:r>
        <w:rPr>
          <w:rFonts w:ascii="Times New Roman" w:cs="Times New Roman" w:eastAsia="Times New Roman" w:hAnsi="Times New Roman"/>
          <w:sz w:val="22"/>
          <w:szCs w:val="22"/>
          <w:b w:val="1"/>
          <w:bCs w:val="1"/>
          <w:u w:val="single" w:color="auto"/>
          <w:color w:val="auto"/>
        </w:rPr>
        <w:t>Compliance with Law</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granting of the Option, the exercise of the Option and related issuance of Shares, disposition of the Shares, and any other obligations of the Company under this Agreement, shall be subject to all applicable federal, state, local, and non-U.S. laws, rules, and regulations and to such approvals by any regulatory or governmental agency as may be required. The Administrator shall have the right to impose such restrictions on the Option and related Shares as it deems reasonably necessary or advisable under applicable securities laws and/or the rules and regulations of any stock exchange or market upon which the Shares are then listed or traded. Notwithstanding any other provision of this Agreement, the Company shall not be obligated to issue any Shares pursuant to this Agreement if the issuance thereof would result in a violation of any law. It is expressly understood that the Administrator is authorized to administer, construe, and make all determinations necessary or appropriate for the administration of the Plan, subject to the terms of this Agreement, all of which shall be binding upon the Grantee. The Grantee agrees to take all steps the Administrator determines are reasonably necessary to comply with all applicable securities laws in exercising the Grantee’s rights under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409A of the Internal Revenue Code</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Option and this Agreement shall be interpreted to be exempt from the requirements of Code section 409A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pursuant to Treas. Reg. § 1.409A-1(b)(5)(i) and Treas. Reg. § 1.409A-1(b)(5)(ii). Any action that may be taken (and, to the extent possible, any action actually taken) by the Administrator or the Company shall not be taken (or shall be void and without effect), if such action violates the requirements of Section 409A. If the failure to take an action under this Agreement would violate Section 409A, then to the extent it is possible thereby to avoid a violation of Section 409A, the rights and effects under this Agreement shall be altered to avoid such violation. Any provision in this Agreement that is determined to violate the requirements of Section 409A shall be void and without effect. In addition, any provision that is required to appear in this Agreement to satisfy the requirements of Section 409A, but that is not expressly set forth, shall be deemed to be set forth herein, and the Agreement shall be administered in all respects as if such provision were expressly set forth.</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nothing in this Agreement shall be interpreted or construed to transfer any liability for any tax (including a tax or penalty due as a result of a failure to comply with Section 409A) from the Grantee to the Company or to any other individual or entity.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Disqualifying Dispositions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Option is an ISO, and if the Grantee makes a “disposition” (as defined in Section 424 of the Code) of all or any portion of the Shares acquired upon exercise of the Option within two (2) years from the Grant Date or within one (1) year after issuance of the Shares acquired upon exercise of the Option, then the Grantee shall immediately notify the Company in writing as to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8" w:name="page289"/>
    <w:bookmarkEnd w:id="28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the price realized upon, such disposition. The Grantee acknowledges that the Grantee may be subject to income tax withholding by the Company on the compensation income recognized by the Grantee.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Option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consideration for the Option and by accepting this Agreement, the Grantee agrees and acknowledges that: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Option and any future awards under the Plan are entirely voluntary, and at the complete discretion of the Company. Neither the Option, nor any future awards by the Company, shall be deemed to create any obligation to grant any other awards, whether or not such a reservation is explicitly stated at the time of any such award.</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Subject to the terms of the Plan, the Board may at any time and from time to time, alter, amend, suspend, or terminate the Plan, in whole or in part.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Grantee acknowledges and agrees that the Grantee has no right to receive any equity compensation following the Grant Date other than as set forth in this Agreement or otherwise approved by the Board on or before the Grant Date, and that the Option is granted in full satisfaction of the Grantee’s right, if any, to an equity award under any offer letter, transition letter, or similar letter; agreement; or communication from the Company or any Subsidiary or Parent.</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Plan shall not be deemed to constitute, and shall not be construed by the Grantee to constitute, part of the terms and conditions of employment. The value of the Option is not part of the Grantee’s normal or expected compensation for purposes of calculating any severance, retirement, welfare, insurance, or similar employee benefit. Neither the Company nor any member of the Board or of the Administrator shall have any liability of any kind to the Grantee for any action taken or not taken in good faith under the Plan; for any change, amendment, or cancellation of the Plan or this Option; or for the failure of this Option to realize intended tax consequences or to comply with any other law, compliance with which is not required on the part of the Company.</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Grantee acknowledges receipt of a copy of the Plan and represents that the Grantee is familiar with the terms and provisions thereof (and has had an opportunity to consult counsel regarding the Option terms), and hereby accepts the Option and agrees to be bound by its contractual terms as set forth herein and in the Plan.</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Grantee represents that the Grantee has consulted any tax, legal, or financial consultants the Grantee deems advisable in connection with the Grantee’s participation in the Plan; the entering into of this Agreement; and the purchase or disposition of the Shares issued pursuant to the exercise of the Option and that the Grantee is not relying on the Company for, and the Company has not provided the Grantee with, any tax, legal, or financial advice. The Company is not making any recommendation to the Grantee regarding the Grantee’s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89" w:name="page290"/>
    <w:bookmarkEnd w:id="289"/>
    <w:p>
      <w:pPr>
        <w:ind w:firstLine="1497"/>
        <w:spacing w:after="0" w:line="258" w:lineRule="auto"/>
        <w:rPr>
          <w:sz w:val="20"/>
          <w:szCs w:val="20"/>
          <w:color w:val="auto"/>
        </w:rPr>
      </w:pPr>
      <w:r>
        <w:rPr>
          <w:rFonts w:ascii="Times New Roman" w:cs="Times New Roman" w:eastAsia="Times New Roman" w:hAnsi="Times New Roman"/>
          <w:sz w:val="22"/>
          <w:szCs w:val="22"/>
          <w:color w:val="auto"/>
        </w:rPr>
        <w:t>The Grantee understands that the Option is subject to the Company’s insider trading policy, and such related restrictions, terms and conditions, or other policies as may be established by the Administrator from time to time.</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By signing below or by clicking the applicable acceptance space on the Online Platform, the Grantee acknowledges receipt of this Agreement and agrees to its terms and conditions.</w:t>
      </w:r>
    </w:p>
    <w:p>
      <w:pPr>
        <w:spacing w:after="0" w:line="1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279400</wp:posOffset>
            </wp:positionV>
            <wp:extent cx="13716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4479290</wp:posOffset>
            </wp:positionH>
            <wp:positionV relativeFrom="paragraph">
              <wp:posOffset>-13970</wp:posOffset>
            </wp:positionV>
            <wp:extent cx="9753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90" w:name="page291"/>
    <w:bookmarkEnd w:id="290"/>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EIKON THERAPEUTICS, INC. 2026 LONG-TERM INCENTIVE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This Restricted Stock Unit Agreement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between Eikon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individual identified below as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evidences the grant of an award of Restricted Stock Units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Eikon Therapeutics, Inc. 2026 Long-Term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This Award Agreement is subject to the terms of the Plan. To the extent that there is a conflict between the terms of this Award Agreement and the terms of the Plan, the terms of the Plan shall govern. </w:t>
      </w:r>
      <w:r>
        <w:rPr>
          <w:rFonts w:ascii="Times New Roman" w:cs="Times New Roman" w:eastAsia="Times New Roman" w:hAnsi="Times New Roman"/>
          <w:sz w:val="22"/>
          <w:szCs w:val="22"/>
          <w:b w:val="1"/>
          <w:bCs w:val="1"/>
          <w:color w:val="auto"/>
        </w:rPr>
        <w:t>By signature below or by electronic acknowledgement of this Award through the online platform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designated by the Company for delivery of this Award Agreement (any such platform, the “Online Platform”), the Grantee agrees to all of the terms and conditions described in this Award Agreement and in the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GRANT</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60" w:type="dxa"/>
            <w:vAlign w:val="bottom"/>
            <w:tcBorders>
              <w:top w:val="single" w:sz="8" w:color="auto"/>
              <w:left w:val="single" w:sz="8" w:color="auto"/>
              <w:right w:val="single" w:sz="8" w:color="auto"/>
            </w:tcBorders>
          </w:tcPr>
          <w:p>
            <w:pPr>
              <w:ind w:left="120"/>
              <w:spacing w:after="0" w:line="228" w:lineRule="exact"/>
              <w:rPr>
                <w:sz w:val="20"/>
                <w:szCs w:val="20"/>
                <w:color w:val="auto"/>
              </w:rPr>
            </w:pPr>
            <w:r>
              <w:rPr>
                <w:rFonts w:ascii="Times New Roman" w:cs="Times New Roman" w:eastAsia="Times New Roman" w:hAnsi="Times New Roman"/>
                <w:sz w:val="22"/>
                <w:szCs w:val="22"/>
                <w:b w:val="1"/>
                <w:bCs w:val="1"/>
                <w:color w:val="auto"/>
              </w:rPr>
              <w:t>Name of Grantee (the</w:t>
            </w:r>
          </w:p>
        </w:tc>
        <w:tc>
          <w:tcPr>
            <w:tcW w:w="85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Address</w:t>
            </w:r>
          </w:p>
        </w:tc>
        <w:tc>
          <w:tcPr>
            <w:tcW w:w="854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6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854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shd w:val="clear" w:color="auto" w:fill="F2F2F2"/>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No. of Restricted</w:t>
            </w:r>
          </w:p>
        </w:tc>
        <w:tc>
          <w:tcPr>
            <w:tcW w:w="854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Stock Units (“RSUs”)</w:t>
            </w:r>
          </w:p>
        </w:tc>
        <w:tc>
          <w:tcPr>
            <w:tcW w:w="854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3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8540" w:type="dxa"/>
            <w:vAlign w:val="bottom"/>
            <w:tcBorders>
              <w:bottom w:val="single" w:sz="8" w:color="auto"/>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360" w:type="dxa"/>
            <w:vAlign w:val="bottom"/>
            <w:tcBorders>
              <w:left w:val="single" w:sz="8" w:color="auto"/>
              <w:bottom w:val="single" w:sz="8" w:color="auto"/>
              <w:right w:val="single" w:sz="8" w:color="auto"/>
            </w:tcBorders>
          </w:tcPr>
          <w:p>
            <w:pPr>
              <w:spacing w:after="0"/>
              <w:rPr>
                <w:sz w:val="7"/>
                <w:szCs w:val="7"/>
                <w:color w:val="auto"/>
              </w:rPr>
            </w:pPr>
          </w:p>
        </w:tc>
        <w:tc>
          <w:tcPr>
            <w:tcW w:w="8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shd w:val="clear" w:color="auto" w:fill="F2F2F2"/>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Vesting</w:t>
            </w:r>
          </w:p>
        </w:tc>
        <w:tc>
          <w:tcPr>
            <w:tcW w:w="854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360" w:type="dxa"/>
            <w:vAlign w:val="bottom"/>
            <w:tcBorders>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b w:val="1"/>
                <w:bCs w:val="1"/>
                <w:color w:val="auto"/>
              </w:rPr>
              <w:t>Commencement Date</w:t>
            </w:r>
          </w:p>
        </w:tc>
        <w:tc>
          <w:tcPr>
            <w:tcW w:w="854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3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8540" w:type="dxa"/>
            <w:vAlign w:val="bottom"/>
            <w:tcBorders>
              <w:bottom w:val="single" w:sz="8" w:color="auto"/>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Vesting Schedule</w:t>
            </w:r>
          </w:p>
        </w:tc>
        <w:tc>
          <w:tcPr>
            <w:tcW w:w="85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The RSUs shall vest as follows, subject to the Grantee’s Continuous Service through the</w:t>
            </w:r>
          </w:p>
        </w:tc>
        <w:tc>
          <w:tcPr>
            <w:tcW w:w="0" w:type="dxa"/>
            <w:vAlign w:val="bottom"/>
          </w:tcPr>
          <w:p>
            <w:pPr>
              <w:spacing w:after="0"/>
              <w:rPr>
                <w:sz w:val="1"/>
                <w:szCs w:val="1"/>
                <w:color w:val="auto"/>
              </w:rPr>
            </w:pPr>
          </w:p>
        </w:tc>
      </w:tr>
      <w:tr>
        <w:trPr>
          <w:trHeight w:val="243"/>
        </w:trPr>
        <w:tc>
          <w:tcPr>
            <w:tcW w:w="23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Including Any</w:t>
            </w:r>
          </w:p>
        </w:tc>
        <w:tc>
          <w:tcPr>
            <w:tcW w:w="85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applicable vesting dates: [___________________________].</w:t>
            </w:r>
          </w:p>
        </w:tc>
        <w:tc>
          <w:tcPr>
            <w:tcW w:w="0" w:type="dxa"/>
            <w:vAlign w:val="bottom"/>
          </w:tcPr>
          <w:p>
            <w:pPr>
              <w:spacing w:after="0"/>
              <w:rPr>
                <w:sz w:val="1"/>
                <w:szCs w:val="1"/>
                <w:color w:val="auto"/>
              </w:rPr>
            </w:pPr>
          </w:p>
        </w:tc>
      </w:tr>
      <w:tr>
        <w:trPr>
          <w:trHeight w:val="286"/>
        </w:trPr>
        <w:tc>
          <w:tcPr>
            <w:tcW w:w="2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Acceleration</w:t>
            </w:r>
          </w:p>
        </w:tc>
        <w:tc>
          <w:tcPr>
            <w:tcW w:w="8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Upon the termination of the Grantee’s Continuous Service, all remaining unvested RSUs shall</w:t>
            </w:r>
          </w:p>
        </w:tc>
        <w:tc>
          <w:tcPr>
            <w:tcW w:w="0" w:type="dxa"/>
            <w:vAlign w:val="bottom"/>
          </w:tcPr>
          <w:p>
            <w:pPr>
              <w:spacing w:after="0"/>
              <w:rPr>
                <w:sz w:val="1"/>
                <w:szCs w:val="1"/>
                <w:color w:val="auto"/>
              </w:rPr>
            </w:pPr>
          </w:p>
        </w:tc>
      </w:tr>
      <w:tr>
        <w:trPr>
          <w:trHeight w:val="69"/>
        </w:trPr>
        <w:tc>
          <w:tcPr>
            <w:tcW w:w="2360" w:type="dxa"/>
            <w:vAlign w:val="bottom"/>
            <w:tcBorders>
              <w:left w:val="single" w:sz="8" w:color="auto"/>
              <w:right w:val="single" w:sz="8" w:color="auto"/>
            </w:tcBorders>
          </w:tcPr>
          <w:p>
            <w:pPr>
              <w:spacing w:after="0"/>
              <w:rPr>
                <w:sz w:val="5"/>
                <w:szCs w:val="5"/>
                <w:color w:val="auto"/>
              </w:rPr>
            </w:pPr>
          </w:p>
        </w:tc>
        <w:tc>
          <w:tcPr>
            <w:tcW w:w="85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36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 immediately forfeited.</w:t>
            </w:r>
          </w:p>
        </w:tc>
        <w:tc>
          <w:tcPr>
            <w:tcW w:w="0" w:type="dxa"/>
            <w:vAlign w:val="bottom"/>
          </w:tcPr>
          <w:p>
            <w:pPr>
              <w:spacing w:after="0"/>
              <w:rPr>
                <w:sz w:val="1"/>
                <w:szCs w:val="1"/>
                <w:color w:val="auto"/>
              </w:rPr>
            </w:pPr>
          </w:p>
        </w:tc>
      </w:tr>
      <w:tr>
        <w:trPr>
          <w:trHeight w:val="96"/>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w:t>
      </w:r>
    </w:p>
    <w:p>
      <w:pPr>
        <w:spacing w:after="0" w:line="233" w:lineRule="exact"/>
        <w:rPr>
          <w:sz w:val="20"/>
          <w:szCs w:val="20"/>
          <w:color w:val="auto"/>
        </w:rPr>
      </w:pPr>
    </w:p>
    <w:p>
      <w:pPr>
        <w:ind w:left="440" w:hanging="432"/>
        <w:spacing w:after="0"/>
        <w:tabs>
          <w:tab w:leader="none" w:pos="44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Capitalized terms used but not defined in this Award Agreement have the defined meanings set forth in the Plan.</w:t>
      </w:r>
    </w:p>
    <w:p>
      <w:pPr>
        <w:spacing w:after="0" w:line="202" w:lineRule="exact"/>
        <w:rPr>
          <w:sz w:val="20"/>
          <w:szCs w:val="20"/>
          <w:color w:val="auto"/>
        </w:rPr>
      </w:pPr>
    </w:p>
    <w:p>
      <w:pPr>
        <w:ind w:left="440" w:hanging="432"/>
        <w:spacing w:after="0"/>
        <w:tabs>
          <w:tab w:leader="none" w:pos="4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Award</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Pursuant to the Plan and subject to the terms of this Award Agreement, the Company grants to the Grantee, as of the Grant Date, the Award.</w:t>
      </w:r>
    </w:p>
    <w:p>
      <w:pPr>
        <w:spacing w:after="0" w:line="154" w:lineRule="exact"/>
        <w:rPr>
          <w:sz w:val="20"/>
          <w:szCs w:val="20"/>
          <w:color w:val="auto"/>
        </w:rPr>
      </w:pPr>
    </w:p>
    <w:p>
      <w:pPr>
        <w:ind w:left="440" w:hanging="432"/>
        <w:spacing w:after="0"/>
        <w:tabs>
          <w:tab w:leader="none" w:pos="44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vest in one or more installments pursuant to the vesting schedule specified in the Notice of Grant. If the Grantee’s Continuous Service terminates due to a termination for Cause, any RSUs (vested or unvested) that have not yet been settled in accordance with Section 4 (Issuance of Common Stock) shall be forfeited.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Continuous Service terminates for any reason other than as described above in Section 3(a), any portion of the Award that has not yet vested shall terminate on the date that the Grantee’s Continuous Service terminates (except as otherwise determined by the Administrator).</w:t>
      </w:r>
    </w:p>
    <w:p>
      <w:pPr>
        <w:spacing w:after="0" w:line="16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Issuance of Common Stock</w:t>
      </w:r>
    </w:p>
    <w:p>
      <w:pPr>
        <w:spacing w:after="0" w:line="210"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underlying a vested RSU shall be issued to the Grantee as soon a reasonably practicable following the applicable vesting date and in no event later than March 15th of the year following the year of such vesting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RSUs shall be satisfied in full upon the issuance of Shares with respect to the RSUs that vested in accordance with Section 3 (Vesting of Restricted Stock Units), net of any applicable withholding taxes, or upon the forfeiture of such RSUs in accordance with Section 3 (Vesting of Restricted Stock Units).</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in its discretion, have the right to deduct or withhold from payments of any kind otherwise due to the Grantee, or require the Grantee to remit to the Company, an amount sufficient to satisfy taxes imposed under any federal, state, local, non-U.S., or other law, including but not limited to income taxes, capital gain taxes, transfer taxes, and social security contributions that are required by law to be withheld with respect to the Plan, grants of restricted stock units, payment of Shares under this Award Agreement, the sale of Shares acquired hereunder, and/or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92" w:name="page293"/>
    <w:bookmarkEnd w:id="292"/>
    <w:p>
      <w:pPr>
        <w:jc w:val="both"/>
        <w:spacing w:after="0" w:line="258" w:lineRule="auto"/>
        <w:rPr>
          <w:sz w:val="20"/>
          <w:szCs w:val="20"/>
          <w:color w:val="auto"/>
        </w:rPr>
      </w:pPr>
      <w:r>
        <w:rPr>
          <w:rFonts w:ascii="Times New Roman" w:cs="Times New Roman" w:eastAsia="Times New Roman" w:hAnsi="Times New Roman"/>
          <w:sz w:val="22"/>
          <w:szCs w:val="22"/>
          <w:color w:val="auto"/>
        </w:rPr>
        <w:t>payment of dividends on Shares acquired hereunder, as applicable. A sufficient number of the Shares resulting from payout of this Award at vesting may, in the Company’s discretion, be retained by the Company to satisfy any tax-withholding obligation.</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If the Administrator approves a “sell to cover” program, any Grantee may satisfy the Grantee’s tax withholding obligation through a program approved by the Administrator in which payment of any tax-withholding obligation may be satisfied, in whole, or in part, by delivery of an irrevocable direction to a securities broker (on a form prescribed by the Administrator) to sell Shares and to deliver all or part of the sale proceeds to the Company in payment of the amount necessary to satisfy the Company’s withholding obligations (such program a “sell to cover” program). For the avoidance of doubt, any Share withholding or “sell to cover” shall, to the extent applicable, be carried out in accordance with Treas. Reg. § 1.409A-3(j)(4)(vi) or (xi).</w:t>
      </w:r>
    </w:p>
    <w:p>
      <w:pPr>
        <w:spacing w:after="0" w:line="179" w:lineRule="exact"/>
        <w:rPr>
          <w:sz w:val="20"/>
          <w:szCs w:val="20"/>
          <w:color w:val="auto"/>
        </w:rPr>
      </w:pPr>
    </w:p>
    <w:p>
      <w:pPr>
        <w:ind w:left="440" w:hanging="432"/>
        <w:spacing w:after="0"/>
        <w:tabs>
          <w:tab w:leader="none" w:pos="44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Restrictions on Transfer of Award</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Award and the rights and privileges conferred hereby shall not be transferred, assigned, pledged, or otherwise encumbered in any way (whether by operation of law or otherwise), other than by will or by the laws of descent and distribution. Upon any attempt to transfer, assign, pledge, or otherwise encumber the Award or any right or privilege conferred hereby contrary to the provisions hereof, the Award and the rights and privileges conferred hereby shall immediately become null and void.</w:t>
      </w:r>
    </w:p>
    <w:p>
      <w:pPr>
        <w:spacing w:after="0" w:line="173" w:lineRule="exact"/>
        <w:rPr>
          <w:sz w:val="20"/>
          <w:szCs w:val="20"/>
          <w:color w:val="auto"/>
        </w:rPr>
      </w:pPr>
    </w:p>
    <w:p>
      <w:pPr>
        <w:ind w:left="440" w:hanging="432"/>
        <w:spacing w:after="0"/>
        <w:tabs>
          <w:tab w:leader="none" w:pos="44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number of RSUs covered by the Award and the type of stock or other consideration to be received on settlement of the Award shall be subject to such adjustment, pursuant to the Plan, in the manner determined to be appropriate by the Administrator, in its sole discretion. Any adjustment determined to be appropriate by the Administrator shall be conclusive and shall be binding on the Grantee.</w:t>
      </w:r>
    </w:p>
    <w:p>
      <w:pPr>
        <w:spacing w:after="0" w:line="176" w:lineRule="exact"/>
        <w:rPr>
          <w:sz w:val="20"/>
          <w:szCs w:val="20"/>
          <w:color w:val="auto"/>
        </w:rPr>
      </w:pPr>
    </w:p>
    <w:p>
      <w:pPr>
        <w:ind w:left="440" w:hanging="432"/>
        <w:spacing w:after="0"/>
        <w:tabs>
          <w:tab w:leader="none" w:pos="44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Voting, and Other Rights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are not Shares, and the Grantee shall therefore have no voting or other stockholder rights by reason of receiving or being credited with RSUs pursuant to this Award Agreement unless and until Shares are issued to the Grantee pursuant to Section 4 (Issuance of Common Stock).</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dividends or Dividend Equivalents (as defined below) shall be payable with respect to the RSUs unless approved by the Administrator. If approved by the Administrator and the Notice of Grant specifies that the Grantee shall be entitled to a “Dividend Equivalent”, then if the Company declares and pays a dividend in respect of its Common Stock and, on the record date for such dividend, the Grantee holds RSUs granted pursuant to this Award Agreement, the Grantee shall have an unvested right to receive an amount (the “Dividend Equivalent”) equal to the dividends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93" w:name="page294"/>
    <w:bookmarkEnd w:id="293"/>
    <w:p>
      <w:pPr>
        <w:jc w:val="both"/>
        <w:spacing w:after="0" w:line="238" w:lineRule="auto"/>
        <w:rPr>
          <w:sz w:val="20"/>
          <w:szCs w:val="20"/>
          <w:color w:val="auto"/>
        </w:rPr>
      </w:pPr>
      <w:r>
        <w:rPr>
          <w:rFonts w:ascii="Times New Roman" w:cs="Times New Roman" w:eastAsia="Times New Roman" w:hAnsi="Times New Roman"/>
          <w:sz w:val="22"/>
          <w:szCs w:val="22"/>
          <w:color w:val="auto"/>
        </w:rPr>
        <w:t>Grantee would have received if the Grantee were the holder of record, as of such record date, of the number of Shares related to the RSUs that the Grantee holds as of such record date. Any Dividend Equivalent will vest if, when and to the extent that the related RSUs vest and will be paid to the Grantee as soon a reasonably practicable following the applicable vesting date and in no event later than March 15th of the year following the year of such vesting date. No interest will be paid with respect to a Dividend Equivalent. If any the RSUs are forfeited, any Dividend Equivalent with respect to such RSUs shall also be forfeited.</w:t>
      </w:r>
    </w:p>
    <w:p>
      <w:pPr>
        <w:spacing w:after="0" w:line="177" w:lineRule="exact"/>
        <w:rPr>
          <w:sz w:val="20"/>
          <w:szCs w:val="20"/>
          <w:color w:val="auto"/>
        </w:rPr>
      </w:pPr>
    </w:p>
    <w:p>
      <w:pPr>
        <w:ind w:right="20" w:firstLine="757"/>
        <w:spacing w:after="0" w:line="258" w:lineRule="auto"/>
        <w:tabs>
          <w:tab w:leader="none" w:pos="118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represents only an unfunded and unsecured promise by the Company. The Grantee’s rights under this Award Agreement shall be limited to those of an unsecured general creditor of the Company.</w:t>
      </w:r>
    </w:p>
    <w:p>
      <w:pPr>
        <w:spacing w:after="0" w:line="154"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Grantee acknowledges and agrees that this Award may be subject to recoupment or clawback by the Company in accordance with the Company’s recoupment, clawback or similar policy as such may be in effect from time to time, as well as any similar provisions of applicable law, or Securities and Exchange Commission rule or regulation, or stock exchange requirement, which could in certain circumstances require repayment or forfeiture of the Award or any Shares or other cash or property received with respect to the Award (including any value received from a disposition of Shares acquired upon payment of the Award).</w:t>
      </w:r>
    </w:p>
    <w:p>
      <w:pPr>
        <w:spacing w:after="0" w:line="177" w:lineRule="exact"/>
        <w:rPr>
          <w:sz w:val="20"/>
          <w:szCs w:val="20"/>
          <w:color w:val="auto"/>
        </w:rPr>
      </w:pPr>
    </w:p>
    <w:p>
      <w:pPr>
        <w:ind w:left="440" w:hanging="432"/>
        <w:spacing w:after="0"/>
        <w:tabs>
          <w:tab w:leader="none" w:pos="44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Guarantee of Continuing Service</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Neither the grant of this Award evidenced by this Award Agreement nor any term or provision of this Award Agreement or the Plan shall constitute or be evidence of any understanding, express or implied, on the part of the Company or any Subsidiary or Parent to employ or retain the Grantee for any period.</w:t>
      </w:r>
    </w:p>
    <w:p>
      <w:pPr>
        <w:spacing w:after="0" w:line="169" w:lineRule="exact"/>
        <w:rPr>
          <w:sz w:val="20"/>
          <w:szCs w:val="20"/>
          <w:color w:val="auto"/>
        </w:rPr>
      </w:pPr>
    </w:p>
    <w:p>
      <w:pPr>
        <w:ind w:left="440" w:hanging="432"/>
        <w:spacing w:after="0"/>
        <w:tabs>
          <w:tab w:leader="none" w:pos="44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All notices, requests, consents, and other communications shall be in writing and be deemed given (a) when delivered personally; (b) when sent by email, by facsimile transmission, or other electronic means (as described in Section 12 (Electronic Delivery)); or (c) when received, if sent via courier service or mailed by first class registered or certified mail, postage prepaid. Notices to the Company or the Grantee shall be sent to the addresses, facsimile numbers, or email addresses listed on the Online Platform, as applicable, or to such other address, facsimile number, or email address as such party may designate by a notice delivered to the other party hereto, including through the Online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94" w:name="page295"/>
    <w:bookmarkEnd w:id="294"/>
    <w:p>
      <w:pPr>
        <w:ind w:left="440" w:hanging="432"/>
        <w:spacing w:after="0"/>
        <w:tabs>
          <w:tab w:leader="none" w:pos="44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Company, the Plan, this Award, or current or future participation in the Plan, and any other documents that the Company is required to deliver to its security holders (including, without limitation, disclosures that may be required by the Securities and Exchange Commission), by email or by other electronic means. The Grantee hereby consents to (a) conduct business electronically, (b) receive such documents and notices by such electronic delivery, and (c) sign documents electronically; and the Grantee hereby agrees to participate in the Plan through an online or electronic capitalization administration platform established and maintained by the Company or a third party designated by the Company, including the Online Platform.</w:t>
      </w:r>
    </w:p>
    <w:p>
      <w:pPr>
        <w:spacing w:after="0" w:line="179" w:lineRule="exact"/>
        <w:rPr>
          <w:sz w:val="20"/>
          <w:szCs w:val="20"/>
          <w:color w:val="auto"/>
        </w:rPr>
      </w:pPr>
    </w:p>
    <w:p>
      <w:pPr>
        <w:ind w:left="440" w:hanging="432"/>
        <w:spacing w:after="0"/>
        <w:tabs>
          <w:tab w:leader="none" w:pos="44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Privacy</w:t>
      </w:r>
    </w:p>
    <w:p>
      <w:pPr>
        <w:spacing w:after="0" w:line="21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Grantee acknowledges and agrees that the Company and its affiliates will process and retain certain personal data for the purposes of (a) calculating Awards, (b) monitoring Award terms and conditions, and (c) otherwise administering the Plan and Awards made under it. Such personal data may include, among other things, the Grantee’s address, email address, social security number, pay data, job title, and employment dates. The Grantee consents to such processing, and to the sharing of such personal data with the Company, its affiliates, its agents, its advisers, its regulators, and tax authorities, wherever appropriate.</w:t>
      </w:r>
    </w:p>
    <w:p>
      <w:pPr>
        <w:spacing w:after="0" w:line="164" w:lineRule="exact"/>
        <w:rPr>
          <w:sz w:val="20"/>
          <w:szCs w:val="20"/>
          <w:color w:val="auto"/>
        </w:rPr>
      </w:pPr>
    </w:p>
    <w:p>
      <w:pPr>
        <w:ind w:left="440" w:hanging="432"/>
        <w:spacing w:after="0"/>
        <w:tabs>
          <w:tab w:leader="none" w:pos="44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 Enforcement of Rights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18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together with the Plan, sets forth the entire agreement and understanding between the 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amend, modify, or terminate the Award Agreement at any time and for any reason. The Grantee’s consent to such action shall be required, except as permitted or contemplated under the Plan. The failure by either party to enforce any rights under this Award Agreement shall not be construed as a waiver of any rights of such party.</w:t>
      </w:r>
    </w:p>
    <w:p>
      <w:pPr>
        <w:spacing w:after="0" w:line="16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rights and benefits of this Award Agreement shall inure to the benefit of, and be enforceable by the Company’s successors and assigns. The rights and obligations of the Grantee under this Award Agreement may be assigned only with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95" w:name="page296"/>
    <w:bookmarkEnd w:id="295"/>
    <w:p>
      <w:pPr>
        <w:ind w:left="440" w:hanging="432"/>
        <w:spacing w:after="0"/>
        <w:tabs>
          <w:tab w:leader="none" w:pos="44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any provision of the Award Agreement is, becomes, or is deemed to be invalid, illegal, or unenforceable in any jurisdiction or as to the Grantee, such provision shall be construed or deemed amended to conform with applicable law, or if the provision cannot be so construed or deemed amended without, in the sole discretion of the Administrator, materially altering the intent of the Award Agreement, such provision shall be severed as to the jurisdiction or the Grantee and the remainder of the Award Agreement shall remain in full force and effect.</w:t>
      </w:r>
    </w:p>
    <w:p>
      <w:pPr>
        <w:spacing w:after="0" w:line="173" w:lineRule="exact"/>
        <w:rPr>
          <w:sz w:val="20"/>
          <w:szCs w:val="20"/>
          <w:color w:val="auto"/>
        </w:rPr>
      </w:pPr>
    </w:p>
    <w:p>
      <w:pPr>
        <w:ind w:left="440" w:hanging="432"/>
        <w:spacing w:after="0"/>
        <w:tabs>
          <w:tab w:leader="none" w:pos="44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validity and construction of the Plan and the Award Agreement shall be governed by the laws of the State of Delaware, excluding any conflicts or choice of law rules or principles that might otherwise refer construction or interpretation of any provision of the Plan or the Award Agreement to the substantive law of another jurisdiction.</w:t>
      </w:r>
    </w:p>
    <w:p>
      <w:pPr>
        <w:spacing w:after="0" w:line="169" w:lineRule="exact"/>
        <w:rPr>
          <w:sz w:val="20"/>
          <w:szCs w:val="20"/>
          <w:color w:val="auto"/>
        </w:rPr>
      </w:pPr>
    </w:p>
    <w:p>
      <w:pPr>
        <w:ind w:left="440" w:hanging="432"/>
        <w:spacing w:after="0"/>
        <w:tabs>
          <w:tab w:leader="none" w:pos="44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Law</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granting of the Award, the settlement of the RSUs, and any other obligations of the Company under this Award Agreement, shall be subject to all applicable federal, provincial, state, local, and foreign laws, rules, and regulations and to such approvals by any regulatory or governmental agency as may be required. The Administrator shall have the right to impose such restrictions on the RSUs as it deems reasonably necessary or advisable under applicable federal securities laws and/or the rules and regulations of any stock exchange or market upon which the Shares are then listed or traded. Notwithstanding any other provision of this Award Agreement, the Company shall not be obligated to issue any Shares pursuant to this Award Agreement if the issuance thereof would result in a violation of any law. It is expressly understood that the Administrator is authorized to administer, construe, and make all determinations necessary or appropriate for the administration of the Plan, subject to the terms of this Award Agreement, all of which shall be binding upon the Grantee. The Grantee agrees to take all steps the Administrator determines are reasonably necessary to comply with all applicable provisions of federal, provincial, state, local, and foreign securities law in exercising the Grantee’s rights under this Award Agreement.</w:t>
      </w:r>
    </w:p>
    <w:p>
      <w:pPr>
        <w:spacing w:after="0" w:line="183" w:lineRule="exact"/>
        <w:rPr>
          <w:sz w:val="20"/>
          <w:szCs w:val="20"/>
          <w:color w:val="auto"/>
        </w:rPr>
      </w:pPr>
    </w:p>
    <w:p>
      <w:pPr>
        <w:ind w:left="440" w:hanging="432"/>
        <w:spacing w:after="0"/>
        <w:tabs>
          <w:tab w:leader="none" w:pos="44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Internal Revenue Code</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It is intended that the RSUs and this Award Agreement comply with, or are exempt from, the requirements of Section 409A of the Code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and this Award Agreement and the Plan shall be administered in a manner consistent with the foregoing intent. If this Award is subject to Section 409A and if the Grantee is a “specified employee” (within the meaning set forth Section 409A(a)(2)(B)(i) of the Code) as of the date of the Grantee’s separation from service (within the meaning of Treas. Reg. § 1.409A-1(h)), then the issuance of any Shares or payment of any Dividend Equivalent that would otherwise be made upon the date of the Grantee’s separation from service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96" w:name="page297"/>
    <w:bookmarkEnd w:id="296"/>
    <w:p>
      <w:pPr>
        <w:jc w:val="both"/>
        <w:spacing w:after="0" w:line="249" w:lineRule="auto"/>
        <w:rPr>
          <w:sz w:val="20"/>
          <w:szCs w:val="20"/>
          <w:color w:val="auto"/>
        </w:rPr>
      </w:pPr>
      <w:r>
        <w:rPr>
          <w:rFonts w:ascii="Times New Roman" w:cs="Times New Roman" w:eastAsia="Times New Roman" w:hAnsi="Times New Roman"/>
          <w:sz w:val="21"/>
          <w:szCs w:val="21"/>
          <w:color w:val="auto"/>
        </w:rPr>
        <w:t>within the first six months thereafter will not be made until the first business day after the six (6) month period following the date of the Grantee’s termination (or, if sooner, as soon as reasonably practicable following the Grantee’s death) but if and only if such delay in the issuance of the Shares or payment of the Dividend Equivalent is necessary to avoid the imposition of taxation in respect of the Shares or Dividend Equivalent under Section 409A. Notwithstanding anything in this Award Agreement to the contrary, the receipt of any benefits under this Award Agreement as a result of a termination of service shall require that the Grantee undergo a “separation from service” within the meaning of Treas. Reg. § 1.409A-1(h) or any successor thereto.</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nothing in this Award Agreement shall be interpreted or construed to transfer any liability for any tax (including a tax or penalty due as a result of a failure to comply with Section 409A) from the Grantee to the Company or to any other individual or entity.</w:t>
      </w:r>
    </w:p>
    <w:p>
      <w:pPr>
        <w:spacing w:after="0" w:line="169" w:lineRule="exact"/>
        <w:rPr>
          <w:sz w:val="20"/>
          <w:szCs w:val="20"/>
          <w:color w:val="auto"/>
        </w:rPr>
      </w:pPr>
    </w:p>
    <w:p>
      <w:pPr>
        <w:ind w:left="440" w:hanging="432"/>
        <w:spacing w:after="0"/>
        <w:tabs>
          <w:tab w:leader="none" w:pos="44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 of Award</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consideration for the RSUs and by accepting this Award Agreement, the Grantee agrees and acknowledges that:</w:t>
      </w:r>
    </w:p>
    <w:p>
      <w:pPr>
        <w:spacing w:after="0" w:line="206" w:lineRule="exact"/>
        <w:rPr>
          <w:sz w:val="20"/>
          <w:szCs w:val="20"/>
          <w:color w:val="auto"/>
        </w:rPr>
      </w:pPr>
    </w:p>
    <w:p>
      <w:pPr>
        <w:jc w:val="both"/>
        <w:ind w:firstLine="757"/>
        <w:spacing w:after="0" w:line="239"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of RSUs hereunder and any future awards under the Plan are entirely voluntary, and at the complete discretion of the Company. Neither the award of RSUs hereunder, nor any future awards by the Company, shall be deemed to create any obligation to grant any other awards, whether or not such a reservation is explicitly stated at the time of any such award.</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Plan, the Board may at any time and from time to time, alter, amend, suspend, or terminate the Plan, in whole or in part.</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and agrees that the Grantee has no right to receive any equity compensation following the Grant Date other than as set forth in this Award Agreement or otherwise approved by the Board on or before the Grant Date, and that the Award is granted in full satisfaction of the Grantee’s right, if any, to an equity award under any offer letter, transition letter, or similar letter; agreement; or communication from the Company or any Subsidiary or Parent.</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not be deemed to constitute, and shall not be construed by the Grantee to constitute, part of the terms and conditions of employment. The value of the Award is not part of the Grantee’s normal or expected compensation for purposes of calculating any severance, retirement, welfare, insurance, or similar employee benefit. Neither the Company nor any member of the Board or of the Administrator shall have any liability of any kind to the Grantee for any action taken or not taken in good faith under the Plan; for any change, amendment, or cancellation of the Plan or this Award; or for the failure of this Award to realize intended tax consequences or to comply with any other law, compliance with which is not required on the part of the Company.</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receipt of a copy of the Plan and represents that the Grantee is familiar with the terms and provisions thereof (and has had an opportunity to consult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97" w:name="page298"/>
    <w:bookmarkEnd w:id="297"/>
    <w:p>
      <w:pPr>
        <w:spacing w:after="0" w:line="258" w:lineRule="auto"/>
        <w:rPr>
          <w:sz w:val="20"/>
          <w:szCs w:val="20"/>
          <w:color w:val="auto"/>
        </w:rPr>
      </w:pPr>
      <w:r>
        <w:rPr>
          <w:rFonts w:ascii="Times New Roman" w:cs="Times New Roman" w:eastAsia="Times New Roman" w:hAnsi="Times New Roman"/>
          <w:sz w:val="22"/>
          <w:szCs w:val="22"/>
          <w:color w:val="auto"/>
        </w:rPr>
        <w:t>regarding the Award terms), and hereby accepts the Award and agrees to be bound by its contractual terms as set forth herein and in the Plan.</w:t>
      </w:r>
    </w:p>
    <w:p>
      <w:pPr>
        <w:spacing w:after="0" w:line="158" w:lineRule="exact"/>
        <w:rPr>
          <w:sz w:val="20"/>
          <w:szCs w:val="20"/>
          <w:color w:val="auto"/>
        </w:rPr>
      </w:pPr>
    </w:p>
    <w:p>
      <w:pPr>
        <w:jc w:val="both"/>
        <w:ind w:firstLine="757"/>
        <w:spacing w:after="0" w:line="238"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represents that the Grantee has consulted any tax, legal, or financial consultants the Grantee deems advisable in connection with the Grantee’s participation in the Plan; entering into of this Award Agreement; and the settlement of the RSUs and that the Grantee is not relying on the Company for, and the Company has not provided the Grantee with, any tax, legal, or financial advice. The Company is not making any recommendation to the Grantee regarding the Grantee’s participation in the Plan.</w:t>
      </w:r>
    </w:p>
    <w:p>
      <w:pPr>
        <w:spacing w:after="0" w:line="17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the Award is subject to the Company’s insider trading policy, and such related restrictions, terms and conditions, or other policies as may be established by the Administrator from time to time.</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or by clicking the applicable acceptance space on the Online Platform, the Grantee acknowledges receipt of this Award Agreement and agrees to its terms and conditions.</w:t>
      </w:r>
    </w:p>
    <w:p>
      <w:pPr>
        <w:spacing w:after="0" w:line="1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279400</wp:posOffset>
            </wp:positionV>
            <wp:extent cx="13716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-11430</wp:posOffset>
            </wp:positionV>
            <wp:extent cx="9067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7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1188085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-11430</wp:posOffset>
            </wp:positionV>
            <wp:extent cx="12915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Eikon Therapeutics, Inc. 2026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Award Agreement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EIKON THERAPEUTICS, INC.</w:t>
      </w:r>
    </w:p>
    <w:p>
      <w:pPr>
        <w:ind w:left="4580"/>
        <w:spacing w:after="0" w:line="230" w:lineRule="auto"/>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 w:lineRule="exact"/>
        <w:rPr>
          <w:sz w:val="20"/>
          <w:szCs w:val="20"/>
          <w:color w:val="auto"/>
        </w:rPr>
      </w:pPr>
    </w:p>
    <w:p>
      <w:pPr>
        <w:ind w:left="760" w:hanging="752"/>
        <w:spacing w:after="0"/>
        <w:tabs>
          <w:tab w:leader="none" w:pos="7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Eikon Therapeutics, Inc. (the “Company”) has adopted this Insider Trading Policy (this “Policy”) with respect to trading in the Company’s securities and the securities of certain other publicly traded companies by members of the Company’s board of directors (the “Board”), officers, employees and external contractors and consultants. Federal securities laws prohibit the purchase or sale of a company’s securities by persons who are aware of material information about that company if such information is not generally known or available to the public. Likewise, these laws prohibit persons who are aware of such material nonpublic information from disclosing this information to others who may trade in such securities. Companies and their controlling persons are also subject to liability if they fail to take reasonable steps to prevent insider trading by company personnel. This Policy is designed to help you comply with such insider trading laws, handle confidential information properly and avoid potentially embarrassing public disclosures and the appearance of impropriety.</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You are receiving this Policy because you are a director, officer or employee, or an external contractor or consultant who has or may have access to material nonpublic information, and are subject to this Policy. All Board directors, officers and employees, and external contractors and consultants who have access to material nonpublic information, are responsible for reading this Policy and complying with it. Further, even after you are no longer employed by or affiliated with the Company, you must maintain the confidentiality of any confidential or proprietary information obtained during your employment or affiliation with the Company.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Penalties for violating this Policy may involve any appropriate remedy, including termination of employment or other relationship with the Company. In addition, the Securities and Exchange Commission (the “SEC”), the Financial Industry Regulatory Authority, Inc. and the U.S. Department of Justice vigorously enforce insider trading laws. Violations of insider trading laws could result in civil and criminal penalties under applicable federal and state securities laws.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you have any questions about the application of this Policy, or if you would like to make a request for an exception, please contact the Company’s General Counsel or their designee (the “Trading Compliance Officers”). Although the Trading Compliance Officers generally are responsible for the implementation of this Policy, the Board may designate employees to carry out any of the duties described below.</w:t>
      </w:r>
    </w:p>
    <w:p>
      <w:pPr>
        <w:spacing w:after="0" w:line="176" w:lineRule="exact"/>
        <w:rPr>
          <w:sz w:val="20"/>
          <w:szCs w:val="20"/>
          <w:color w:val="auto"/>
        </w:rPr>
      </w:pPr>
    </w:p>
    <w:p>
      <w:pPr>
        <w:ind w:left="760" w:hanging="752"/>
        <w:spacing w:after="0"/>
        <w:tabs>
          <w:tab w:leader="none" w:pos="7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COVERED</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Policy applies to (i) Board directors, (ii) officers and employees (including but not limited to permanent or temporary, salaried or hourly) of the Company and its subsidiaries, (iii) external contractors and consultants who have access to material nonpublic information of the Company and its subsidiaries, both inside and outside the United States (persons described in clauses (i), (ii) and (iii), the “Company Covered Persons”), and (iv) all immediate family members of Company Covered Persons, including such person’s spouse or domestic partner, children, stepchildren, grandchildren, parents, stepparents, grandparents, siblings and in-laws, and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9" w:name="page300"/>
    <w:bookmarkEnd w:id="299"/>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else who lives in the same household (other than tenants and household employees) and any family members who do not live in the same household but whose securities transactions are directed by a Company Covered Person or are subject to such person’s influence and control, such as children away at college or parents or children who consult with any such person before they trade (collectively, “family members” and, together with the Company Covered Persons, the “Covered Persons”). Each Company Covered Person is expected to inform their family members of the requirements of this Policy. This Policy also applies to all corporations, limited liability companies, partnerships, trusts or other entities controlled by Covered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 Company Covered Person has hereby represented to the Company that such Company Covered Person’s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ind w:left="760" w:hanging="752"/>
        <w:spacing w:after="0"/>
        <w:tabs>
          <w:tab w:leader="none" w:pos="7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TRANSACTIONS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Policy applies to all transactions in all Company securities, which may include common stock, preferred stock, debt securities, warrants or options to acquire common stock, derivative securities, units or any other type of securities that the Company may issue. This Policy also applies to trading in the securities of other companies about which you learn material nonpublic information during the course of your relationship with the Company and those with which trading in the Company’s securities is highly correlated, such as other companies developing products or product candidates targeting indications or pathways that are similar to those the Company is investigating. This Policy’s trading restrictions generally do not apply to the exercise of a stock option. The trading restrictions do apply, however, to any sale of the underlying stock or to a cashless exercise of the option through a broker (often called a “same-day sale” or a “sell-to-cover”). Such a transaction entails selling a portion of the underlying stock to cover the costs of exercise and/or withholding taxes.</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POLICY AGAINST INSIDER TRADING</w:t>
      </w:r>
    </w:p>
    <w:p>
      <w:pPr>
        <w:spacing w:after="0" w:line="206" w:lineRule="exact"/>
        <w:rPr>
          <w:sz w:val="20"/>
          <w:szCs w:val="20"/>
          <w:color w:val="auto"/>
        </w:rPr>
      </w:pPr>
    </w:p>
    <w:p>
      <w:pPr>
        <w:ind w:left="1500" w:hanging="743"/>
        <w:spacing w:after="0"/>
        <w:tabs>
          <w:tab w:leader="none" w:pos="150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Prohibition Against Insider Trading and Improper Disclosure</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Federal and state laws prohibit “insider trading,” meaning the purchase or sale of securities, in breach of a fiduciary duty or other relationship of trust and confidence, on the basis of material nonpublic information about the security. Any Covered Person, or any other person designated under this Policy, who has material nonpublic information relating to the Company may not, until after the first </w:t>
      </w:r>
      <w:r>
        <w:rPr>
          <w:rFonts w:ascii="Times New Roman" w:cs="Times New Roman" w:eastAsia="Times New Roman" w:hAnsi="Times New Roman"/>
          <w:sz w:val="21"/>
          <w:szCs w:val="21"/>
          <w:b w:val="1"/>
          <w:bCs w:val="1"/>
          <w:color w:val="auto"/>
        </w:rPr>
        <w:t>full</w:t>
      </w:r>
      <w:r>
        <w:rPr>
          <w:rFonts w:ascii="Times New Roman" w:cs="Times New Roman" w:eastAsia="Times New Roman" w:hAnsi="Times New Roman"/>
          <w:sz w:val="21"/>
          <w:szCs w:val="21"/>
          <w:color w:val="auto"/>
        </w:rPr>
        <w:t xml:space="preserve"> trading day </w:t>
      </w:r>
      <w:r>
        <w:rPr>
          <w:rFonts w:ascii="Times New Roman" w:cs="Times New Roman" w:eastAsia="Times New Roman" w:hAnsi="Times New Roman"/>
          <w:sz w:val="21"/>
          <w:szCs w:val="21"/>
          <w:b w:val="1"/>
          <w:bCs w:val="1"/>
          <w:color w:val="auto"/>
        </w:rPr>
        <w:t>after</w:t>
      </w:r>
      <w:r>
        <w:rPr>
          <w:rFonts w:ascii="Times New Roman" w:cs="Times New Roman" w:eastAsia="Times New Roman" w:hAnsi="Times New Roman"/>
          <w:sz w:val="21"/>
          <w:szCs w:val="21"/>
          <w:color w:val="auto"/>
        </w:rPr>
        <w:t xml:space="preserve"> the information becomes public or once the information is no longer material: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ind w:left="1500" w:hanging="743"/>
        <w:spacing w:after="0"/>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engage in transactions in Company securities, directly or indirectly, except as specifically noted herein;</w:t>
      </w:r>
    </w:p>
    <w:p>
      <w:pPr>
        <w:spacing w:after="0" w:line="206" w:lineRule="exact"/>
        <w:rPr>
          <w:rFonts w:ascii="Times New Roman" w:cs="Times New Roman" w:eastAsia="Times New Roman" w:hAnsi="Times New Roman"/>
          <w:sz w:val="18"/>
          <w:szCs w:val="18"/>
          <w:color w:val="auto"/>
        </w:rPr>
      </w:pPr>
    </w:p>
    <w:p>
      <w:pPr>
        <w:jc w:val="both"/>
        <w:ind w:left="1500" w:hanging="743"/>
        <w:spacing w:after="0" w:line="244" w:lineRule="auto"/>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engage in transactions in the securities of any other company while in possession of material nonpublic information about such other company that was obtained in the course of such Covered Person’s relationship with the Company;</w:t>
      </w:r>
    </w:p>
    <w:p>
      <w:pPr>
        <w:spacing w:after="0" w:line="173"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recommend the purchase or sale of any Company securities or the securities of the other company to which such information relates;</w:t>
      </w:r>
    </w:p>
    <w:p>
      <w:pPr>
        <w:spacing w:after="0" w:line="158" w:lineRule="exact"/>
        <w:rPr>
          <w:rFonts w:ascii="Times New Roman" w:cs="Times New Roman" w:eastAsia="Times New Roman" w:hAnsi="Times New Roman"/>
          <w:sz w:val="18"/>
          <w:szCs w:val="18"/>
          <w:color w:val="auto"/>
        </w:rPr>
      </w:pPr>
    </w:p>
    <w:p>
      <w:pPr>
        <w:jc w:val="both"/>
        <w:ind w:left="1500" w:hanging="743"/>
        <w:spacing w:after="0" w:line="244" w:lineRule="auto"/>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engage in any other action to take personal advantage of that information, including but not limited to, passing on or “tipping” (as defined below) that information to someone who uses it for personal gain, regardless of the quantity of securities traded;</w:t>
      </w:r>
    </w:p>
    <w:p>
      <w:pPr>
        <w:spacing w:after="0" w:line="173" w:lineRule="exact"/>
        <w:rPr>
          <w:rFonts w:ascii="Times New Roman" w:cs="Times New Roman" w:eastAsia="Times New Roman" w:hAnsi="Times New Roman"/>
          <w:sz w:val="18"/>
          <w:szCs w:val="18"/>
          <w:color w:val="auto"/>
        </w:rPr>
      </w:pPr>
    </w:p>
    <w:p>
      <w:pPr>
        <w:jc w:val="both"/>
        <w:ind w:left="1500" w:hanging="743"/>
        <w:spacing w:after="0" w:line="238" w:lineRule="auto"/>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express accordance with the Company’s policies regarding the protection or authorized external disclosure of information concerning the Company; or</w:t>
      </w:r>
    </w:p>
    <w:p>
      <w:pPr>
        <w:spacing w:after="0" w:line="176"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assist anyone engaged in the above activities.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“Tipping” arises when a Covered Person discloses material nonpublic information about the Company or another publicly traded entity to another person or recommends another person to trade in the securities of a company while in possession of material nonpublic information about that company, and that person, the “tippee”, either (i) trades in a security of the company in respect of which you provided information or (ii) provides the information to another person who makes a trade in a related security or further disseminates the information to another person that engages in (i) or (ii), such that a trade is eventually made. Each person who receives the material nonpublic information or recommendation to trade, whether from the Covered Person directly or from a tippee becomes a tippee, and any tippee’s trade in a related security is illegal. Tipping is illegal even if you do not personally make a trade or otherwise benefit from disclosing the information.</w:t>
      </w:r>
    </w:p>
    <w:p>
      <w:pPr>
        <w:spacing w:after="0" w:line="17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In addition, any Covered Person who is in possession of material nonpublic information about another entity, including an entity with whom the Company does business, may not trade in that entity’s securities until the information becomes public.</w:t>
      </w:r>
    </w:p>
    <w:p>
      <w:pPr>
        <w:spacing w:after="0" w:line="13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Although you may believe it is necessary or justifiable for independent reasons (such as the need to raise money for an emergency expenditure) to engage in a transaction involving the Company’s securities, there are no exceptions to this Policy’s prohibition against insider trading. Even the appearance of impropriety must be avoided to preserve the Company’s reputation for adhering to the highest standards of conduct.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To ensure compliance with this Policy and protect the business interests of the Company, all Covered Persons must protect the confidentiality of material nonpublic information, by, for example, avoiding casual conversations about such information in public areas and storing files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1" w:name="page302"/>
    <w:bookmarkEnd w:id="301"/>
    <w:p>
      <w:pPr>
        <w:jc w:val="both"/>
        <w:spacing w:after="0" w:line="244" w:lineRule="auto"/>
        <w:rPr>
          <w:sz w:val="20"/>
          <w:szCs w:val="20"/>
          <w:color w:val="auto"/>
        </w:rPr>
      </w:pPr>
      <w:r>
        <w:rPr>
          <w:rFonts w:ascii="Times New Roman" w:cs="Times New Roman" w:eastAsia="Times New Roman" w:hAnsi="Times New Roman"/>
          <w:sz w:val="22"/>
          <w:szCs w:val="22"/>
          <w:color w:val="auto"/>
        </w:rPr>
        <w:t>containing material nonpublic information in secure locations. This Policy also covers communications and postings made through the Internet, anonymously or otherwise. You must not post any nonpublic or confidential information on the Internet, including through chatrooms, discussion groups or social media platforms.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Because insider trading laws are complex, you should contact the Trading Compliance Officers if you have any questions about whether information in your possession is material or nonpublic or if a proposed transaction or communication would violate the applicable insider trading laws. You must also report any unauthorized disclosure of material nonpublic information, whether inadvertent or otherwise, immediately to the Trading Compliance Officers.</w:t>
      </w:r>
    </w:p>
    <w:p>
      <w:pPr>
        <w:spacing w:after="0" w:line="176" w:lineRule="exact"/>
        <w:rPr>
          <w:sz w:val="20"/>
          <w:szCs w:val="20"/>
          <w:color w:val="auto"/>
        </w:rPr>
      </w:pPr>
    </w:p>
    <w:p>
      <w:pPr>
        <w:ind w:left="1500" w:hanging="743"/>
        <w:spacing w:after="0"/>
        <w:tabs>
          <w:tab w:leader="none" w:pos="150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Information is “Material”?</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the purposes of this Policy, information is “material” if there is a substantial likelihood that a reasonable investor would consider that information important in deciding whether to trade securities, or if the information could be viewed as altering the total mix of information available to the stockholder. It is also information that, if disclosed, is reasonably likely to affect the market price of the Company’s securities. Material information can relate to past events, future expectations or any other aspect of the business, and can be positive, neutral or negative.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Some examples of material information include:</w:t>
      </w:r>
    </w:p>
    <w:p>
      <w:pPr>
        <w:spacing w:after="0" w:line="98" w:lineRule="exact"/>
        <w:rPr>
          <w:sz w:val="20"/>
          <w:szCs w:val="20"/>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or annual earnings information and guidance, including estimates or revisions;</w:t>
      </w:r>
    </w:p>
    <w:p>
      <w:pPr>
        <w:spacing w:after="0" w:line="98"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earnings that are inconsistent with the consensus expectations of the investment community, reaffirming previously issued earnings guidance or a decision to suspend earnings guidance;</w:t>
      </w:r>
    </w:p>
    <w:p>
      <w:pPr>
        <w:spacing w:after="0" w:line="5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discussions, proposals or agreements for a significant merger, acquisition or divestiture;</w:t>
      </w:r>
    </w:p>
    <w:p>
      <w:pPr>
        <w:spacing w:after="0" w:line="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actual or threatened litigation or administrative actions, or significant developments regarding such matters;</w:t>
      </w:r>
    </w:p>
    <w:p>
      <w:pPr>
        <w:spacing w:after="0" w:line="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new or prospective contracts, licensing agreements or collaboration agreements;</w:t>
      </w:r>
    </w:p>
    <w:p>
      <w:pPr>
        <w:spacing w:after="0" w:line="98"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developments or announcements involving the U.S. Food and Drug Administration or other regulators, a company’s products or product candidates, regulatory applications or clinical trials;</w:t>
      </w:r>
    </w:p>
    <w:p>
      <w:pPr>
        <w:spacing w:after="0" w:line="5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research and development initiatives, clinical studies, clinical data or new product prospects;</w:t>
      </w:r>
    </w:p>
    <w:p>
      <w:pPr>
        <w:spacing w:after="0" w:line="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notice of issuance or denial or the loss of patents protecting products or product candidates;</w:t>
      </w:r>
    </w:p>
    <w:p>
      <w:pPr>
        <w:spacing w:after="0" w:line="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significant cybersecurity breach or incident;</w:t>
      </w:r>
    </w:p>
    <w:p>
      <w:pPr>
        <w:spacing w:after="0" w:line="98" w:lineRule="exact"/>
        <w:rPr>
          <w:rFonts w:ascii="Times New Roman" w:cs="Times New Roman" w:eastAsia="Times New Roman" w:hAnsi="Times New Roman"/>
          <w:sz w:val="18"/>
          <w:szCs w:val="18"/>
          <w:color w:val="auto"/>
        </w:rPr>
      </w:pPr>
    </w:p>
    <w:p>
      <w:pPr>
        <w:jc w:val="both"/>
        <w:ind w:left="1500" w:hanging="743"/>
        <w:spacing w:after="0" w:line="244"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disruption in operations or breach or unauthorized access of property or assets, including facilities and information technology infrastructure, that affects a company or third-party providers that support a company’s business operations;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ind w:left="1500" w:right="20" w:hanging="743"/>
        <w:spacing w:after="0" w:line="258" w:lineRule="auto"/>
        <w:tabs>
          <w:tab w:leader="none" w:pos="15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event or circumstance affecting product manufacturing or product quality, especially one that may affect product supplies;</w:t>
      </w:r>
    </w:p>
    <w:p>
      <w:pPr>
        <w:spacing w:after="0" w:line="5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business strategies;</w:t>
      </w:r>
    </w:p>
    <w:p>
      <w:pPr>
        <w:spacing w:after="0" w:line="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key members of management;</w:t>
      </w:r>
    </w:p>
    <w:p>
      <w:pPr>
        <w:spacing w:after="0" w:line="98"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events regarding the Company’s securities, including an offering, redemption or repurchase of securities or the declaration of a stock split; and</w:t>
      </w:r>
    </w:p>
    <w:p>
      <w:pPr>
        <w:spacing w:after="0" w:line="5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other facts that might cause a company’s financial results to be substantially affected.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foregoing list does not include all of the information that could be deemed to be material. Because materiality is judged with the benefit of hindsight, questions concerning the materiality of particular information should be addressed conservatively.</w:t>
      </w:r>
    </w:p>
    <w:p>
      <w:pPr>
        <w:spacing w:after="0" w:line="169" w:lineRule="exact"/>
        <w:rPr>
          <w:sz w:val="20"/>
          <w:szCs w:val="20"/>
          <w:color w:val="auto"/>
        </w:rPr>
      </w:pPr>
    </w:p>
    <w:p>
      <w:pPr>
        <w:ind w:left="1500" w:hanging="743"/>
        <w:spacing w:after="0"/>
        <w:tabs>
          <w:tab w:leader="none" w:pos="150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Information is “Nonpublic”?</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Information is “nonpublic” if it has not been widely disseminated to the public, such as through a press release carried over a major news service, a public filing with the SEC or materials sent to stockholders (e.g., a proxy statement or widely disseminated prospectus). Information is also nonpublic if it has been widely disseminated to the public, but sufficient time has not elapsed to permit the investment community to absorb and evaluate the information. In general, information is considered nonpublic until after one </w:t>
      </w:r>
      <w:r>
        <w:rPr>
          <w:rFonts w:ascii="Times New Roman" w:cs="Times New Roman" w:eastAsia="Times New Roman" w:hAnsi="Times New Roman"/>
          <w:sz w:val="22"/>
          <w:szCs w:val="22"/>
          <w:b w:val="1"/>
          <w:bCs w:val="1"/>
          <w:color w:val="auto"/>
        </w:rPr>
        <w:t>full</w:t>
      </w:r>
      <w:r>
        <w:rPr>
          <w:rFonts w:ascii="Times New Roman" w:cs="Times New Roman" w:eastAsia="Times New Roman" w:hAnsi="Times New Roman"/>
          <w:sz w:val="22"/>
          <w:szCs w:val="22"/>
          <w:color w:val="auto"/>
        </w:rPr>
        <w:t xml:space="preserve"> trading day has passed </w:t>
      </w:r>
      <w:r>
        <w:rPr>
          <w:rFonts w:ascii="Times New Roman" w:cs="Times New Roman" w:eastAsia="Times New Roman" w:hAnsi="Times New Roman"/>
          <w:sz w:val="22"/>
          <w:szCs w:val="22"/>
          <w:b w:val="1"/>
          <w:bCs w:val="1"/>
          <w:color w:val="auto"/>
        </w:rPr>
        <w:t>following</w:t>
      </w:r>
      <w:r>
        <w:rPr>
          <w:rFonts w:ascii="Times New Roman" w:cs="Times New Roman" w:eastAsia="Times New Roman" w:hAnsi="Times New Roman"/>
          <w:sz w:val="22"/>
          <w:szCs w:val="22"/>
          <w:color w:val="auto"/>
        </w:rPr>
        <w:t xml:space="preserve"> public release. For example, if the Company announces earnings before trading begins on a Tuesday, then the first time you can buy or sell Company securities is the opening of the market on Wednesday (assuming you are not aware of other material nonpublic information at that time). However, if the Company announces earnings after trading begins on that Tuesday, then the first time you can buy or sell Company securities is the opening of the market on Thursday. As an additional example, if the Company announces earnings on a Saturday, then the first time you can buy or sell Company securities is the opening of the market on Tuesday.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distribution of information through narrower channels may be insufficient to make it public. For example, merely posting information on a website may not satisfy the “widely disseminated” standard to make such information public. Also, the fact that nonpublic information is reflected in rumors in the marketplace does not mean that the information has been publicly disseminated. It is also important to note that even after information becomes public, many aspects relating to a matter may remain nonpublic.</w:t>
      </w:r>
    </w:p>
    <w:p>
      <w:pPr>
        <w:spacing w:after="0" w:line="173" w:lineRule="exact"/>
        <w:rPr>
          <w:sz w:val="20"/>
          <w:szCs w:val="20"/>
          <w:color w:val="auto"/>
        </w:rPr>
      </w:pPr>
    </w:p>
    <w:p>
      <w:pPr>
        <w:ind w:left="760" w:hanging="752"/>
        <w:spacing w:after="0"/>
        <w:tabs>
          <w:tab w:leader="none" w:pos="76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FOR SPECIFIC TRANSACTIONS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general prohibition on insider trading described above, certain specific transaction types and related activities are prohibited by this Policy.</w:t>
      </w:r>
    </w:p>
    <w:p>
      <w:pPr>
        <w:spacing w:after="0" w:line="154" w:lineRule="exact"/>
        <w:rPr>
          <w:sz w:val="20"/>
          <w:szCs w:val="20"/>
          <w:color w:val="auto"/>
        </w:rPr>
      </w:pPr>
    </w:p>
    <w:p>
      <w:pPr>
        <w:ind w:left="1500" w:hanging="743"/>
        <w:spacing w:after="0"/>
        <w:tabs>
          <w:tab w:leader="none" w:pos="150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 Party Options and Other Derivative Transactions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Persons may not engage in derivative transactions involving the Company’s securities, including options, warrants, stock appreciation rights or similar rights whose value is derived from or related to the value of the Company’s securities. This prohibition includes, but 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jc w:val="both"/>
        <w:spacing w:after="0" w:line="239" w:lineRule="auto"/>
        <w:rPr>
          <w:sz w:val="20"/>
          <w:szCs w:val="20"/>
          <w:color w:val="auto"/>
        </w:rPr>
      </w:pPr>
      <w:r>
        <w:rPr>
          <w:rFonts w:ascii="Times New Roman" w:cs="Times New Roman" w:eastAsia="Times New Roman" w:hAnsi="Times New Roman"/>
          <w:sz w:val="22"/>
          <w:szCs w:val="22"/>
          <w:color w:val="auto"/>
        </w:rPr>
        <w:t>not limited to, trading in third party put or call option contracts, trading in straddles and similar transactions. These transactions are prohibited because they may cause a Covered Person to focus on short-term performance at the expense of the Company’s long-term objectives. Note that this Policy does not restrict holding and exercising stock options or any other securities granted under the Company’s equity incentive plans.</w:t>
      </w:r>
    </w:p>
    <w:p>
      <w:pPr>
        <w:spacing w:after="0" w:line="176" w:lineRule="exact"/>
        <w:rPr>
          <w:sz w:val="20"/>
          <w:szCs w:val="20"/>
          <w:color w:val="auto"/>
        </w:rPr>
      </w:pPr>
    </w:p>
    <w:p>
      <w:pPr>
        <w:ind w:left="1500" w:hanging="743"/>
        <w:spacing w:after="0"/>
        <w:tabs>
          <w:tab w:leader="none" w:pos="150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Hedging, Pledging and Lending</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Persons are prohibited from hedging and lending Company securities in any transaction, including by entering into zero-cost collars and forward contracts. Unless authorized in advance by the Board, you are prohibited from pledging Company securities in any transaction.</w:t>
      </w:r>
    </w:p>
    <w:p>
      <w:pPr>
        <w:spacing w:after="0" w:line="169" w:lineRule="exact"/>
        <w:rPr>
          <w:sz w:val="20"/>
          <w:szCs w:val="20"/>
          <w:color w:val="auto"/>
        </w:rPr>
      </w:pPr>
    </w:p>
    <w:p>
      <w:pPr>
        <w:ind w:left="1500" w:hanging="743"/>
        <w:spacing w:after="0"/>
        <w:tabs>
          <w:tab w:leader="none" w:pos="150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Short Sales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Covered Persons may not engage in short selling of Company securities. Selling short includes transactions in which you borrow securities from a broker, sell them, and eventually buy securities on the market to cover the number of securities borrowed from the broker. Profit is made if the price of the securities decreases during the period of borrowing. Short sales may evidence an expectation on the part of the seller that the securities will decline in value, and therefore have the potential to signal to the market that the seller lacks confidence in the Company’s prospects.</w:t>
      </w:r>
    </w:p>
    <w:p>
      <w:pPr>
        <w:spacing w:after="0" w:line="173" w:lineRule="exact"/>
        <w:rPr>
          <w:sz w:val="20"/>
          <w:szCs w:val="20"/>
          <w:color w:val="auto"/>
        </w:rPr>
      </w:pPr>
    </w:p>
    <w:p>
      <w:pPr>
        <w:ind w:left="1500" w:hanging="743"/>
        <w:spacing w:after="0"/>
        <w:tabs>
          <w:tab w:leader="none" w:pos="150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Margin Accounts</w:t>
      </w:r>
    </w:p>
    <w:p>
      <w:pPr>
        <w:spacing w:after="0" w:line="21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Covered Persons may not purchase Company securities on margin. Purchasing Company securities on margin involves the use of borrowed money from a brokerage firm to purchase the securities. Holding Company securities in a margin account means that the securities can be sold by the broker to repay a loan to the brokerage firm. Covered Persons are prohibited from purchasing Company securities on margin and from holding Company securities in a margin account because a margin sale might occur at a time when the Covered Person is aware of material nonpublic information or otherwise restricted from trading.</w:t>
      </w:r>
    </w:p>
    <w:p>
      <w:pPr>
        <w:spacing w:after="0" w:line="164" w:lineRule="exact"/>
        <w:rPr>
          <w:sz w:val="20"/>
          <w:szCs w:val="20"/>
          <w:color w:val="auto"/>
        </w:rPr>
      </w:pPr>
    </w:p>
    <w:p>
      <w:pPr>
        <w:ind w:left="1500" w:hanging="743"/>
        <w:spacing w:after="0"/>
        <w:tabs>
          <w:tab w:leader="none" w:pos="150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Standing or Limit Orders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Standing or limit orders should be used only for a very brief period of time, if at all. A standing order placed with a broker to sell or purchase Company stock at a specified minimum or maximum price leaves you with no control over the timing of the transaction. The limit order could be executed by the broker when you are aware of material nonpublic information, which would result in unlawful insider trading.</w:t>
      </w:r>
    </w:p>
    <w:p>
      <w:pPr>
        <w:spacing w:after="0" w:line="176" w:lineRule="exact"/>
        <w:rPr>
          <w:sz w:val="20"/>
          <w:szCs w:val="20"/>
          <w:color w:val="auto"/>
        </w:rPr>
      </w:pPr>
    </w:p>
    <w:p>
      <w:pPr>
        <w:ind w:left="1500" w:hanging="743"/>
        <w:spacing w:after="0"/>
        <w:tabs>
          <w:tab w:leader="none" w:pos="150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or its subsidiaries. If an individual is in possession of material nonpublic information when his or her service terminates, that individual may not trade in Company securities until that information has become public or is no longer material.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4" w:name="page305"/>
    <w:bookmarkEnd w:id="304"/>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WHEN TRADING IS GENERALLY PERMITTED</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To help Covered Persons conduct trades in Company securities in compliance with the general prohibition described above, the Company has established mechanisms for effecting trades in the Company’s securities in compliance with this Policy. While these types of permitted transactions are generally not subject to restrictions from trading set forth in this Policy, Company personnel who are subject to the pre-clearance procedures described below in this Policy should still pre-clear the proposed transaction with the Trading Compliance Officers.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you are not certain whether a proposed transaction complies with the mechanisms described below, you should contact the Trading Compliance Officers.</w:t>
      </w:r>
    </w:p>
    <w:p>
      <w:pPr>
        <w:spacing w:after="0" w:line="154" w:lineRule="exact"/>
        <w:rPr>
          <w:sz w:val="20"/>
          <w:szCs w:val="20"/>
          <w:color w:val="auto"/>
        </w:rPr>
      </w:pPr>
    </w:p>
    <w:p>
      <w:pPr>
        <w:ind w:left="1500" w:hanging="743"/>
        <w:spacing w:after="0"/>
        <w:tabs>
          <w:tab w:leader="none" w:pos="150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Window and Blackout Periods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Trading window periods are those periods of time during which directors, officers and employees can, potentially, trade the Company’s securities, so long as they are not in possession of material nonpublic information. At these times, the "window" is said to be "open." This window period may be closed and may not reopen if, in the judgment of the Company's Trading Compliance Officers, there exists undisclosed information that would make trades by the Company's directors, officers and employees inappropriate. This closing of the window indicates a prohibition on trading in Company securities and is commonly called, and referred to in this policy, as a "trading blackout" or “blackout period.” A trading blackout may be implemented, for example, if there is some information or development with or relating to the Company's business that merits a suspension of trading. Trading blackout periods will be announced by email to those employees to whom the blackout period applies. It is important to note that the fact that a trading blackout has been imposed and/or that the window period has not reopened should be considered inside information. Further, in the absence of a blackout period, Covered Persons should not assume that they are in a trading window, since they may nonetheless be prohibited from trading the Company’s securities under this policy in the event they are aware of material nonpublic information.</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If a trading blackout has been imposed due to the existence of material nonpublic information, generally the window period will not re-open until the second trading day after the Company's public dissemination of the material nonpublic information, or until such time a determination is made that the information at issue is no longer material nonpublic information. Even if you have not been specifically notified not to trade Company securities (i.e. you have not been notified that you are subject to a blackout period, you are still prohibited from trading if you are or become aware of any material nonpublic information. The requirement to make trades during a trading window does not apply to transactions described below under the headings “Rule 10b5-1 Plan Trading,” “Option Exercises,” “Estate Planning and Gifts,” “Employee Stock Purchase Plans” and “Tax Obligations.” An employee, officer, or director who believes that special circumstances require him or her to trade outside the window period (e.g., during any trading blackout period) other than those enumerated in the preceding sentence must consult with the Trading Compliance Officers to seek a pre-clearance to conduct a trade. Permission to trade outside the window period (during any trading blackout period) will be granted only where the circumstances are extenuating and there appears to be no significant risk that the trade may subsequently be questioned.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5" w:name="page306"/>
    <w:bookmarkEnd w:id="305"/>
    <w:p>
      <w:pPr>
        <w:ind w:left="1500" w:hanging="743"/>
        <w:spacing w:after="0"/>
        <w:tabs>
          <w:tab w:leader="none" w:pos="150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Plan Trading</w:t>
      </w:r>
    </w:p>
    <w:p>
      <w:pPr>
        <w:spacing w:after="0" w:line="21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To avoid liability for insider trading, Board directors, officers, and certain other employees may wish to rely upon the affirmative defense established by Rule 10b5-1 under the Securities Exchange Act of 1934, as amended (the “Exchange Act”). Rule 10b5-1 is available to an individual or entity who purchases or sells a security under a binding contract, specific instruction or written plan that the person or entity put into place before becoming aware of material nonpublic information (such a written plan, a “Rule 10b5-1 Plan”). A Rule 10b5-1 Plan may only be entered into (i) when you are not aware of material nonpublic information and (ii) during a trading window. Once the Rule 10b5-1 Plan is adopted, you must not exercise any influence over the amount of securities to be traded, the price at which they are to be traded or the date of the trade. If the trading plan meets all of the requirements of Rule 10b5-1, Company securities may be purchased and sold under such plan without regard to certain insider trading considerations, and such trades would not be subject to the trading and pre-clearance restrictions under this Policy.</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strongly encourages its Board directors and officers who are subject to Section 16 of the Exchange Act (“executive officers”) who wish to trade in Company securities to limit such trading activity to Rule 10b5-1 Plans adopted in accordance with this Policy and to refrain from trading in Company securities outside of a Rule 10b5-1 Plan. In addition, other Company Covered Persons who wish to trade in Company securities may be encouraged to limit their trading activity to Rule 10b5-1 Plans adopted in accordance with this Policy, based on the determination of the Trading Compliance Officers.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create a Rule 10b5-1 Plan, you must enter into a written plan for trading securities that must:</w:t>
      </w:r>
    </w:p>
    <w:p>
      <w:pPr>
        <w:spacing w:after="0" w:line="206" w:lineRule="exact"/>
        <w:rPr>
          <w:sz w:val="20"/>
          <w:szCs w:val="20"/>
          <w:color w:val="auto"/>
        </w:rPr>
      </w:pPr>
    </w:p>
    <w:p>
      <w:pPr>
        <w:ind w:left="1500" w:hanging="743"/>
        <w:spacing w:after="0"/>
        <w:tabs>
          <w:tab w:leader="none" w:pos="15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specify the amount, price and date of the transaction(s);</w:t>
      </w:r>
    </w:p>
    <w:p>
      <w:pPr>
        <w:spacing w:after="0" w:line="206"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include a written formula, algorithm or computer program for determining the amount, price and date of the transaction(s); or</w:t>
      </w:r>
    </w:p>
    <w:p>
      <w:pPr>
        <w:spacing w:after="0" w:line="158" w:lineRule="exact"/>
        <w:rPr>
          <w:rFonts w:ascii="Times New Roman" w:cs="Times New Roman" w:eastAsia="Times New Roman" w:hAnsi="Times New Roman"/>
          <w:sz w:val="18"/>
          <w:szCs w:val="18"/>
          <w:color w:val="auto"/>
        </w:rPr>
      </w:pPr>
    </w:p>
    <w:p>
      <w:pPr>
        <w:jc w:val="both"/>
        <w:ind w:left="1500" w:hanging="743"/>
        <w:spacing w:after="0" w:line="244" w:lineRule="auto"/>
        <w:tabs>
          <w:tab w:leader="none" w:pos="15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 permit the person for whom shares are being purchased or sold to exercise any subsequent influence over how, when or whether to effect purchases or sales, while at the same time ensuring that the person effecting the trades is not aware of any material nonpublic information at the time of the trades.</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To rely on the affirmative defense provided pursuant to Rule 10b5-1, a person must adopt a Rule 10b5-1 Plan that meets all of the rule’s requirements. These include a requirement that the plan include a representation certifying that the person adopting the plan is doing so in good faith, at a time when he or she is not in possession of material nonpublic information and not as part of a plan to evade the insider trading prohibitions. Additionally, a Covered Person adopting a new Rule 10b5-1 Plan may not have any other outstanding Rule 10b5-1 Plans, and may not subsequently enter into any additional Rule 10b5-1 Plans, subject to certain exceptions. A Covered Person may not have more than one Rule 10b5-1 Plan that is intended to effect the open-market purchase or sale of a total amount of securities as a single transaction in any 12-month period (other than transactions that are necessary to satisfy tax withholding obligations arising exclusively from the vesting of compensatory awards and you do not exercise control over the timing of sales).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6" w:name="page307"/>
    <w:bookmarkEnd w:id="306"/>
    <w:p>
      <w:pPr>
        <w:jc w:val="both"/>
        <w:spacing w:after="0" w:line="258" w:lineRule="auto"/>
        <w:rPr>
          <w:sz w:val="20"/>
          <w:szCs w:val="20"/>
          <w:color w:val="auto"/>
        </w:rPr>
      </w:pPr>
      <w:r>
        <w:rPr>
          <w:rFonts w:ascii="Times New Roman" w:cs="Times New Roman" w:eastAsia="Times New Roman" w:hAnsi="Times New Roman"/>
          <w:sz w:val="22"/>
          <w:szCs w:val="22"/>
          <w:color w:val="auto"/>
        </w:rPr>
        <w:t>Frequent amendments of, or deviation from, a trading plan may make it difficult for an insider to demonstrate that he or she has satisfied the rule’s “good faith” requirement.</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 Rule 10b5-1 Plan must provide for a “cooling off” period before purchases and sales can occur under the plan. For a director or executive officer, no purchases or sales under the Rule 10b5-1 Plan can occur until the later of (i) 90 days after the adoption of the Rule 10b5-1 Plan and (ii) two trading days following disclosure of the Company’s results in a Form 10-Q or Form 10-K for a completed fiscal quarter in which the Rule 10b5-1 Plan was adopted; provided, however, that in no event will the required cooling off period be longer than 120 days after adoption of the Rule 10b5-1 Plan. For a person other than a director or executive officer, no purchases or sales under a Rule 10b5-1 Plan can be made until 30 days after adoption of the Rule 10b5-1 Plan.</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Any modification to the amount, pricing or timing of purchases or sales of securities under a Rule 10b5-1 Plan will constitute the termination of the plan and adoption of a new plan, which means that any such modification will trigger the need for the new trading plan to satisfy all of the elements of Rule 10b5-1, including a new cooling off period before trading can begin again. The adoption, termination and amendment of a Rule 10b5-1 Plan of a director or executive officer shall be disclosed in the Company’s annual or quarterly report covering the period during which such triggering event occurred.</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Stock brokerage firms may assist Board directors, officers, and employees in establishing Rule 10b5-1 Plans. To ensure that such arrangements comply with Rule 10b5-1, the Company requires that any Company Covered Person who wishes to establish a Rule 10b5-1 Plan:</w:t>
      </w:r>
    </w:p>
    <w:p>
      <w:pPr>
        <w:spacing w:after="0" w:line="173" w:lineRule="exact"/>
        <w:rPr>
          <w:sz w:val="20"/>
          <w:szCs w:val="20"/>
          <w:color w:val="auto"/>
        </w:rPr>
      </w:pPr>
    </w:p>
    <w:p>
      <w:pPr>
        <w:ind w:left="1500" w:hanging="743"/>
        <w:spacing w:after="0" w:line="258" w:lineRule="auto"/>
        <w:tabs>
          <w:tab w:leader="none" w:pos="15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 prior approval from the Trading Compliance Officers for such Rule 10b5-1 Plan, as well as any amendment of such plan;</w:t>
      </w:r>
    </w:p>
    <w:p>
      <w:pPr>
        <w:spacing w:after="0" w:line="158" w:lineRule="exact"/>
        <w:rPr>
          <w:rFonts w:ascii="Times New Roman" w:cs="Times New Roman" w:eastAsia="Times New Roman" w:hAnsi="Times New Roman"/>
          <w:sz w:val="18"/>
          <w:szCs w:val="18"/>
          <w:color w:val="auto"/>
        </w:rPr>
      </w:pPr>
    </w:p>
    <w:p>
      <w:pPr>
        <w:jc w:val="both"/>
        <w:ind w:left="1500" w:hanging="743"/>
        <w:spacing w:after="0" w:line="244" w:lineRule="auto"/>
        <w:tabs>
          <w:tab w:leader="none" w:pos="15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report promptly, or require that the applicable stock brokerage firm report promptly, to the Trading Compliance Officers all transactions made pursuant to the Rule 10b5-1 Plan on the date of execution, as well as any termination of the plan; and</w:t>
      </w:r>
    </w:p>
    <w:p>
      <w:pPr>
        <w:spacing w:after="0" w:line="17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adopt a plan with a duration of at least six months.</w:t>
      </w:r>
    </w:p>
    <w:p>
      <w:pPr>
        <w:spacing w:after="0" w:line="202" w:lineRule="exact"/>
        <w:rPr>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 Exercises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Company Covered Persons who have stock options or other rights granted by the Company to purchase securities from the Company may exercise the options or purchase rights at any time permitted under the terms of the applicable option or other agreement so long as the exercise does not involve a broker-assisted cashless exercise (often called a “same-day sale” or a “sell-to-cover”). This rule applies only to options or purchase rights granted by the Company. Rules pertaining to options or purchase rights granted by third parties are described in the sections above captioned “Third Party Options and Other Derivative Transactions,” “Short Sales” and “Margin Accounts.” Please be aware, however, that any subsequent sale of securities purchased by means of the stock option exercise or other rights in accordance with this Policy must be made during a trading window, pursuant to a Rule 10b5-1 Plan, or otherwise approved by the Trading Compliance Officers.</w:t>
      </w:r>
    </w:p>
    <w:p>
      <w:pPr>
        <w:spacing w:after="0" w:line="174" w:lineRule="exact"/>
        <w:rPr>
          <w:sz w:val="20"/>
          <w:szCs w:val="20"/>
          <w:color w:val="auto"/>
        </w:rPr>
      </w:pPr>
    </w:p>
    <w:p>
      <w:pPr>
        <w:ind w:left="1500" w:hanging="743"/>
        <w:spacing w:after="0"/>
        <w:tabs>
          <w:tab w:leader="none" w:pos="150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Estate Planning and Gifts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7" w:name="page308"/>
    <w:bookmarkEnd w:id="307"/>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Covered Persons may at any time make bona fide gifts of Company securities (such as charitable donations or family gifts or estate planning transfers). Depending on the circumstances, recipients of gifts may be subject to restrictions on subsequent sales of securities. For example, gifts where there is an expectation of a sale of the securities in close proximity to the gift may imply some economic benefit to the donor that could result in the gift not being considered bona fide. Accordingly, if you expect or intend for the recipient of a gift of Company securities to promptly sell the securities (as is typically the case for charitable gifts to tax-exempt entities) and you are in possession of material nonpublic information, you should consult the Trading Compliance Officers. Any such gifts made by Board directors and executive officers must be reported on Form 4 within two trading days of the date of the transaction.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Gifts that are part of a plan to circumvent the insider trading rules are not permitted.</w:t>
      </w:r>
    </w:p>
    <w:p>
      <w:pPr>
        <w:spacing w:after="0" w:line="202" w:lineRule="exact"/>
        <w:rPr>
          <w:sz w:val="20"/>
          <w:szCs w:val="20"/>
          <w:color w:val="auto"/>
        </w:rPr>
      </w:pPr>
    </w:p>
    <w:p>
      <w:pPr>
        <w:ind w:left="1500" w:hanging="743"/>
        <w:spacing w:after="0"/>
        <w:tabs>
          <w:tab w:leader="none" w:pos="150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Stock Purchase Plans</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Purchases of Company common stock under the Company’s employee stock purchase plan, if any, resulting from periodic or lump sum contributions of money thereto, pursuant to an election made at the time of plan enrollment, are not subject to this Policy. Your initial election to participate in the employee stock purchase plan, changes to that election for any enrollment period and sales of Company common stock purchased pursuant to the plan are subject to this Policy and must comply therewith.</w:t>
      </w:r>
    </w:p>
    <w:p>
      <w:pPr>
        <w:spacing w:after="0" w:line="158" w:lineRule="exact"/>
        <w:rPr>
          <w:sz w:val="20"/>
          <w:szCs w:val="20"/>
          <w:color w:val="auto"/>
        </w:rPr>
      </w:pPr>
    </w:p>
    <w:p>
      <w:pPr>
        <w:ind w:left="1500" w:hanging="743"/>
        <w:spacing w:after="0"/>
        <w:tabs>
          <w:tab w:leader="none" w:pos="150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Obligations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Transactions between Covered Persons and the Company that are undertaken to satisfy tax obligations, such as upon the vesting of restricted stock units and the net issuance of shares, which effectively involves disposing of vested shares to the Company, are exempt under this Policy.</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PRE-CLEARANCE PROCEDURES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Company personnel may not trade or engage in any other transaction involving the Company’s securities addressed in this Policy (including a trade during a trading window, an option exercise, a gift, a contribution to a trust or any other transfer) without first obtaining pre-clearance of the transaction from the Trading Compliance Officers:</w:t>
      </w:r>
    </w:p>
    <w:p>
      <w:pPr>
        <w:spacing w:after="0" w:line="173" w:lineRule="exact"/>
        <w:rPr>
          <w:sz w:val="20"/>
          <w:szCs w:val="20"/>
          <w:color w:val="auto"/>
        </w:rPr>
      </w:pPr>
    </w:p>
    <w:p>
      <w:pPr>
        <w:ind w:left="1500" w:hanging="369"/>
        <w:spacing w:after="0" w:line="258" w:lineRule="auto"/>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Board directors and executive officers, with respect to trades outside of a Rule 10b5-1 Plan entered into in accordance with this Policy; and</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key employees and other individuals as designated by the Trading Compliance Officers.</w:t>
      </w:r>
    </w:p>
    <w:p>
      <w:pPr>
        <w:spacing w:after="0" w:line="206" w:lineRule="exact"/>
        <w:rPr>
          <w:sz w:val="20"/>
          <w:szCs w:val="20"/>
          <w:color w:val="auto"/>
        </w:rPr>
      </w:pPr>
    </w:p>
    <w:p>
      <w:pPr>
        <w:jc w:val="both"/>
        <w:ind w:right="20" w:firstLine="843"/>
        <w:spacing w:after="0" w:line="258" w:lineRule="auto"/>
        <w:rPr>
          <w:sz w:val="20"/>
          <w:szCs w:val="20"/>
          <w:color w:val="auto"/>
        </w:rPr>
      </w:pPr>
      <w:r>
        <w:rPr>
          <w:rFonts w:ascii="Times New Roman" w:cs="Times New Roman" w:eastAsia="Times New Roman" w:hAnsi="Times New Roman"/>
          <w:sz w:val="22"/>
          <w:szCs w:val="22"/>
          <w:color w:val="auto"/>
        </w:rPr>
        <w:t>This pre-clearance requirement applies regardless of whether (i) the individual subject to pre-clearance possesses material nonpublic information regarding the Company or its securities or (ii) the trade occurs during a trading window.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request for pre-clearance must be submitted to the Trading Compliance Officers, or the Company’s Chief Executive Officer in the case of requests for pre-clearance made by the Trading Compliance Officers, at least three trading days prior to consummation of an intended transaction.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8" w:name="page309"/>
    <w:bookmarkEnd w:id="308"/>
    <w:p>
      <w:pPr>
        <w:jc w:val="both"/>
        <w:spacing w:after="0" w:line="239" w:lineRule="auto"/>
        <w:rPr>
          <w:sz w:val="20"/>
          <w:szCs w:val="20"/>
          <w:color w:val="auto"/>
        </w:rPr>
      </w:pPr>
      <w:r>
        <w:rPr>
          <w:rFonts w:ascii="Times New Roman" w:cs="Times New Roman" w:eastAsia="Times New Roman" w:hAnsi="Times New Roman"/>
          <w:sz w:val="22"/>
          <w:szCs w:val="22"/>
          <w:color w:val="auto"/>
        </w:rPr>
        <w:t>Notice may be given in writing and should include in the request (i) the transaction type, (ii) the number and type of securities he or she intends to trade, (iii) the intended transaction date, (iv) a confirmation that he or she has reviewed this Policy and (v) a confirmation that he or she is not aware of any material nonpublic information about the Company or its securities. Approval or denial of the pre-clearance request will be provided to the insider in writing.</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a proposed transaction receives pre-clearance, the pre-cleared trade must be effected by the close of business on the third trading day </w:t>
      </w:r>
      <w:r>
        <w:rPr>
          <w:rFonts w:ascii="Times New Roman" w:cs="Times New Roman" w:eastAsia="Times New Roman" w:hAnsi="Times New Roman"/>
          <w:sz w:val="22"/>
          <w:szCs w:val="22"/>
          <w:b w:val="1"/>
          <w:bCs w:val="1"/>
          <w:color w:val="auto"/>
        </w:rPr>
        <w:t>following</w:t>
      </w:r>
      <w:r>
        <w:rPr>
          <w:rFonts w:ascii="Times New Roman" w:cs="Times New Roman" w:eastAsia="Times New Roman" w:hAnsi="Times New Roman"/>
          <w:sz w:val="22"/>
          <w:szCs w:val="22"/>
          <w:color w:val="auto"/>
        </w:rPr>
        <w:t xml:space="preserve"> receipt of pre-clearance unless (i) the insider becomes aware of material nonpublic information or (ii) the insider is advised by the Company that the pre-clearance has been revoked prior to that time. In the case of either (i) or (ii), the trade must not be completed. For example, if the pre-clearance were issued on a Friday, it would generally be effective through the close of business on the next Wednesday. If the transaction order is not placed prior to the close of business on the third trading day following receipt of pre-clearance, clearance of the transaction must be re-requested. Notice of the execution of the pre-cleared transaction must be provided by the applicable Covered Person to the Trading Compliance Officers on the date of execution. Please note that the date of execution is the trade date and not the settlement date.</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VIII.</w:t>
        <w:tab/>
        <w:t>CERTIFICATION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Board directors and employees subject to the procedures set forth in this Policy must certify their understanding of, and intent to comply with, this Policy. A copy of the certification that must be signed is enclosed with this Policy.</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SECTION 16 POLICY</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Covered Persons who are Board directors and executive officers must follow the additional policies and procedures set forth in Annex A to this policy.</w:t>
      </w:r>
    </w:p>
    <w:p>
      <w:pPr>
        <w:spacing w:after="0" w:line="154" w:lineRule="exact"/>
        <w:rPr>
          <w:sz w:val="20"/>
          <w:szCs w:val="20"/>
          <w:color w:val="auto"/>
        </w:rPr>
      </w:pPr>
    </w:p>
    <w:p>
      <w:pPr>
        <w:ind w:left="760" w:hanging="752"/>
        <w:spacing w:after="0"/>
        <w:tabs>
          <w:tab w:leader="none" w:pos="76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INQUIRIES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Trading Compliance Officers.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139700</wp:posOffset>
            </wp:positionV>
            <wp:extent cx="342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Additional Policies and Procedures Applicable to Board Directors and Executive Officers</w:t>
      </w:r>
    </w:p>
    <w:p>
      <w:pPr>
        <w:spacing w:after="0" w:line="18" w:lineRule="exact"/>
        <w:rPr>
          <w:sz w:val="20"/>
          <w:szCs w:val="20"/>
          <w:color w:val="auto"/>
        </w:rPr>
      </w:pPr>
    </w:p>
    <w:p>
      <w:pPr>
        <w:ind w:left="760" w:hanging="752"/>
        <w:spacing w:after="0"/>
        <w:tabs>
          <w:tab w:leader="none" w:pos="76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following additional policies and procedures (the “Annex”) apply to the Company’s Board directors and executive officers who are subject to Section 16 of the Exchange Act (including recently departed Board directors or executive officers who remain subject to the reporting and “short-swing profit” liability provisions of Section 16 of the Exchange Act), as well as their family members and entities that they control.</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Board directors and executive officers are responsible for reading this Annex and complying with it. Following the completion of your service to the Company, the obligation to file a Form 4 and the short-swing profit recovery rules will apply for six months after your final nonexempt sale or purchase that occurred while you were serving the Company.</w:t>
      </w:r>
    </w:p>
    <w:p>
      <w:pPr>
        <w:spacing w:after="0" w:line="169" w:lineRule="exact"/>
        <w:rPr>
          <w:sz w:val="20"/>
          <w:szCs w:val="20"/>
          <w:color w:val="auto"/>
        </w:rPr>
      </w:pPr>
    </w:p>
    <w:p>
      <w:pPr>
        <w:ind w:left="760" w:hanging="752"/>
        <w:spacing w:after="0"/>
        <w:tabs>
          <w:tab w:leader="none" w:pos="76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REQUIREMENTS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16(a) of the Exchange Act requires that the Company’s Board directors, executive officers and 10% stockholders (the “insiders”) file beneficial ownership reports in connection with their purchases and sales of the Company’s securities, with the SEC electronically and on the Company’s website.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 insider must file a Form 3 with the SEC to report that such person is an insider and such person’s ownership interests in the Company. Anyone becoming an insider in the future must file a Form 3 within ten days of becoming an insider.</w:t>
      </w:r>
    </w:p>
    <w:p>
      <w:pPr>
        <w:spacing w:after="0" w:line="15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21"/>
          <w:szCs w:val="21"/>
          <w:color w:val="auto"/>
        </w:rPr>
        <w:t>In addition, subject to limited exceptions, transactions (including gifts) and changes in beneficial ownership of Company securities must be reported on a Form 4 no later than the second trading day following the execution of the transaction.</w:t>
      </w:r>
    </w:p>
    <w:p>
      <w:pPr>
        <w:spacing w:after="0" w:line="13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types of transactions may be reported on a Form 4 within two trading days following the date the insider receives notice of the transaction (but in no event later than five trading days following the transaction), rather than two trading days following the date on which the transaction occurs:</w:t>
      </w:r>
    </w:p>
    <w:p>
      <w:pPr>
        <w:spacing w:after="0" w:line="173" w:lineRule="exact"/>
        <w:rPr>
          <w:sz w:val="20"/>
          <w:szCs w:val="20"/>
          <w:color w:val="auto"/>
        </w:rPr>
      </w:pPr>
    </w:p>
    <w:p>
      <w:pPr>
        <w:ind w:left="1500" w:hanging="743"/>
        <w:spacing w:after="0" w:line="258"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transaction pursuant to a Rule 10b5-1 Plan under which the insider does not select the date on which the purchases or sales take place; and</w:t>
      </w:r>
    </w:p>
    <w:p>
      <w:pPr>
        <w:spacing w:after="0" w:line="158" w:lineRule="exact"/>
        <w:rPr>
          <w:rFonts w:ascii="Times New Roman" w:cs="Times New Roman" w:eastAsia="Times New Roman" w:hAnsi="Times New Roman"/>
          <w:sz w:val="18"/>
          <w:szCs w:val="18"/>
          <w:color w:val="auto"/>
        </w:rPr>
      </w:pPr>
    </w:p>
    <w:p>
      <w:pPr>
        <w:jc w:val="both"/>
        <w:ind w:left="1500" w:right="20" w:hanging="743"/>
        <w:spacing w:after="0" w:line="244"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“discretionary transaction” (as defined in Rule 16b-3) pursuant to an employee benefit plan for which the insider does not select the date on which transactions take place (such as transfers in or out of, or cash withdrawals from, a company stock fund in a 401(k) plan or other employee benefit plan).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acquisition that, when aggregated with other acquisitions within a six month period (excluding those that have already been reported on Form 4 or Form 5 and transactions exempted from Section 16(b)), does not exceed $10,000 may be reported on a Form 5 within 45 days of the Company’s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0" w:name="page311"/>
    <w:bookmarkEnd w:id="310"/>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transaction or change in beneficial ownership that is not reported on a timely basis on a Form 4 or Form 5, or which is erroneously described in such a report, must be disclosed by the Company. The Company is required to identify in its annual proxy statement any insiders who have failed to timely file all required Section 16(a) reports. Each insider must be alert to their transactions, as well as those attributable to such insider, that require reporting under Section 16.</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Although the responsibility for the timely filing of reports and compliance with trading restrictions rests with each insider, the Trading Compliance Officers will oversee the preparation and filing of Forms 3, 4 and 5 on behalf of Board directors and executive officers, based on information provided by such insider. Accordingly, and to help monitor compliance with this Policy, all Board directors and executive officers agree to provide the Trading Compliance Officers, as promptly as possible, and in no event later than the start of trading on the trading day immediately following the transaction, all information required to complete the relevant form (including the date of the transaction, a description of the transaction, the number of securities involved, parties involved and the price).</w:t>
      </w:r>
    </w:p>
    <w:p>
      <w:pPr>
        <w:spacing w:after="0" w:line="179" w:lineRule="exact"/>
        <w:rPr>
          <w:sz w:val="20"/>
          <w:szCs w:val="20"/>
          <w:color w:val="auto"/>
        </w:rPr>
      </w:pPr>
    </w:p>
    <w:p>
      <w:pPr>
        <w:ind w:left="760" w:hanging="752"/>
        <w:spacing w:after="0"/>
        <w:tabs>
          <w:tab w:leader="none" w:pos="76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SHORT-SWING PROFIT LIABILITY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16(b) of the Exchange Act penalizes insiders who execute nonexempt “opposite way” transactions (i.e., a purchase and sale or a sale and purchase) in the Company’s equity securities within six months of each other by requiring the insider to disgorge any resulting profits to the Company. Profits are determined for this purpose by matching the highest sales price during the period with the lowest purchase price and are to be recovered even if the insider did not realize any actual profit for the period. Although the purpose of the statute is to prevent trading on the basis of material nonpublic information, the recovery provision operates without regard to the intent of the insider or the actual possession of material nonpublic information and may not be waived by the Company. If the Company fails to act to recover any “short-swing” profits, any shareholder may sue to recover such profits on the Company’s behalf.</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restrictions on “short-swing” trading apply not only to trading in Company securities but also to any “derivative security.” Thus, for example, a grant or exercise of options (other than grants or exercises made under a plan that is exempt from Section 16) would be considered to be a “purchase” or sales of Company securities under Section 16. Other transactions not necessarily thought to involve purchases, such as corporate mergers, also may be covered. The SEC has exempted certain transactions, such as purchases under employee benefit plans that have been approved by stockholders or the Board, from the “short-swing” profit recovery provisions of Section 16 (but not the reporting provisions). Board directors and officers remain subject to these Section 16 requirements and restrictions for a period of up to six months after terminating their positions with the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2"/>
          <w:szCs w:val="22"/>
          <w:b w:val="1"/>
          <w:bCs w:val="1"/>
          <w:color w:val="auto"/>
        </w:rPr>
        <w:t>EIKON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 CERTIFICATION</w:t>
      </w:r>
    </w:p>
    <w:p>
      <w:pPr>
        <w:spacing w:after="0" w:line="3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 have received and read a copy of the Eikon Therapeutics, Inc. Insider Trading Policy (the “Policy”) and a copy of the Annex to the Insider Trading Policy (the “Annex”). I hereby agree to comply with the specific requirements of the Policy and, if applicable, the Annex in all respects during my employment or other service relationship with Eikon Therapeutics, Inc. and for such period of time after cessation of my service as provided in the Policy and, if applicable, the Annex. I understand that my failure to comply in all respects with the Policy and, if applicable, the Annex is a basis for termination of my employment or other service relationship with Eikon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274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274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274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2" w:name="page313"/>
    <w:bookmarkEnd w:id="31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3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 333-293272) of Eikon Therapeutics, Inc. of our report dated March 30, 2026 relating to the financial statements, which appears in this Form 10-K.</w:t>
      </w:r>
    </w:p>
    <w:p>
      <w:pPr>
        <w:spacing w:after="0" w:line="1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San Jose, California</w:t>
      </w:r>
    </w:p>
    <w:p>
      <w:pPr>
        <w:spacing w:after="0"/>
        <w:rPr>
          <w:sz w:val="20"/>
          <w:szCs w:val="20"/>
          <w:color w:val="auto"/>
        </w:rPr>
      </w:pPr>
      <w:r>
        <w:rPr>
          <w:rFonts w:ascii="Georgia" w:cs="Georgia" w:eastAsia="Georgia" w:hAnsi="Georgia"/>
          <w:sz w:val="18"/>
          <w:szCs w:val="18"/>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Roger M. Perlmutter, M.D., Ph.D., certify that:</w:t>
      </w:r>
    </w:p>
    <w:p>
      <w:pPr>
        <w:spacing w:after="0" w:line="198" w:lineRule="exact"/>
        <w:rPr>
          <w:sz w:val="20"/>
          <w:szCs w:val="20"/>
          <w:color w:val="auto"/>
        </w:rPr>
      </w:pPr>
    </w:p>
    <w:p>
      <w:pPr>
        <w:ind w:left="520" w:hanging="512"/>
        <w:spacing w:after="0"/>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Eikon Therapeutics,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9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Roger M. Perlmutter, M.D., Ph.D.</w:t>
            </w:r>
          </w:p>
        </w:tc>
      </w:tr>
      <w:tr>
        <w:trPr>
          <w:trHeight w:val="191"/>
        </w:trPr>
        <w:tc>
          <w:tcPr>
            <w:tcW w:w="3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Roger M. Perlmutter, M.D., Ph.D.</w:t>
            </w:r>
          </w:p>
        </w:tc>
      </w:tr>
      <w:tr>
        <w:trPr>
          <w:trHeight w:val="216"/>
        </w:trPr>
        <w:tc>
          <w:tcPr>
            <w:tcW w:w="3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Chair and Director</w:t>
            </w:r>
          </w:p>
        </w:tc>
      </w:tr>
      <w:tr>
        <w:trPr>
          <w:trHeight w:val="234"/>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9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Bowie, Ph.D., certify that:</w:t>
      </w:r>
    </w:p>
    <w:p>
      <w:pPr>
        <w:spacing w:after="0" w:line="198" w:lineRule="exact"/>
        <w:rPr>
          <w:sz w:val="20"/>
          <w:szCs w:val="20"/>
          <w:color w:val="auto"/>
        </w:rPr>
      </w:pPr>
    </w:p>
    <w:p>
      <w:pPr>
        <w:ind w:left="520" w:hanging="512"/>
        <w:spacing w:after="0"/>
        <w:tabs>
          <w:tab w:leader="none" w:pos="5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Eikon Therapeutics,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98"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Alfred Bowie, Ph.D.</w:t>
            </w:r>
          </w:p>
        </w:tc>
      </w:tr>
      <w:tr>
        <w:trPr>
          <w:trHeight w:val="191"/>
        </w:trPr>
        <w:tc>
          <w:tcPr>
            <w:tcW w:w="3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Alfred Bowie, Ph.D.</w:t>
            </w:r>
          </w:p>
        </w:tc>
      </w:tr>
      <w:tr>
        <w:trPr>
          <w:trHeight w:val="216"/>
        </w:trPr>
        <w:tc>
          <w:tcPr>
            <w:tcW w:w="3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39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Eikon Therapeutics, Inc. (the “Company”)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M. Perlmutter, M.D., Ph.D.</w:t>
            </w:r>
          </w:p>
        </w:tc>
      </w:tr>
      <w:tr>
        <w:trPr>
          <w:trHeight w:val="191"/>
        </w:trPr>
        <w:tc>
          <w:tcPr>
            <w:tcW w:w="3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Roger M. Perlmutter, M.D., Ph.D.</w:t>
            </w:r>
          </w:p>
        </w:tc>
      </w:tr>
      <w:tr>
        <w:trPr>
          <w:trHeight w:val="216"/>
        </w:trPr>
        <w:tc>
          <w:tcPr>
            <w:tcW w:w="3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Chair and Director</w:t>
            </w:r>
          </w:p>
        </w:tc>
      </w:tr>
      <w:tr>
        <w:trPr>
          <w:trHeight w:val="234"/>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9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Eikon Therapeutics, Inc. (the “Company”)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Alfred Bowie, Ph.D.</w:t>
            </w:r>
          </w:p>
        </w:tc>
      </w:tr>
      <w:tr>
        <w:trPr>
          <w:trHeight w:val="191"/>
        </w:trPr>
        <w:tc>
          <w:tcPr>
            <w:tcW w:w="3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Alfred Bowie, Ph.D.</w:t>
            </w:r>
          </w:p>
        </w:tc>
      </w:tr>
      <w:tr>
        <w:trPr>
          <w:trHeight w:val="216"/>
        </w:trPr>
        <w:tc>
          <w:tcPr>
            <w:tcW w:w="3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39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7" w:name="page318"/>
    <w:bookmarkEnd w:id="317"/>
    <w:p>
      <w:pPr>
        <w:ind w:left="10440"/>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EIKON THERAPEUTICS, INC.</w:t>
      </w:r>
    </w:p>
    <w:p>
      <w:pPr>
        <w:ind w:left="4160"/>
        <w:spacing w:after="0"/>
        <w:rPr>
          <w:sz w:val="20"/>
          <w:szCs w:val="20"/>
          <w:color w:val="auto"/>
        </w:rPr>
      </w:pPr>
      <w:r>
        <w:rPr>
          <w:rFonts w:ascii="Times New Roman" w:cs="Times New Roman" w:eastAsia="Times New Roman" w:hAnsi="Times New Roman"/>
          <w:sz w:val="22"/>
          <w:szCs w:val="22"/>
          <w:b w:val="1"/>
          <w:bCs w:val="1"/>
          <w:color w:val="auto"/>
        </w:rPr>
        <w:t>Compensation Clawback Policy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37" w:lineRule="exact"/>
        <w:rPr>
          <w:sz w:val="20"/>
          <w:szCs w:val="20"/>
          <w:color w:val="auto"/>
        </w:rPr>
      </w:pPr>
    </w:p>
    <w:p>
      <w:pPr>
        <w:jc w:val="both"/>
        <w:ind w:firstLine="562"/>
        <w:spacing w:after="0" w:line="238" w:lineRule="auto"/>
        <w:rPr>
          <w:sz w:val="20"/>
          <w:szCs w:val="20"/>
          <w:color w:val="auto"/>
        </w:rPr>
      </w:pPr>
      <w:r>
        <w:rPr>
          <w:rFonts w:ascii="Times New Roman" w:cs="Times New Roman" w:eastAsia="Times New Roman" w:hAnsi="Times New Roman"/>
          <w:sz w:val="22"/>
          <w:szCs w:val="22"/>
          <w:color w:val="auto"/>
        </w:rPr>
        <w:t>The Board of Directors (the “Board”) of Eikon Therapeutics, Inc. (the “Company”) has adopted this compensation clawback policy (the “Policy”) which provides for the recoupment of incentive-based compensation in the event of an accounting restatement. The Policy is intended to comply with Section 10D of the Securities Exchange Act of 1934 (the “Act”), the rules promulgated thereunder by the Securities and Exchange Commission (the “SEC”) and the listing standards of The Nasdaq Stock Market LLC (“Nasdaq”) (collectively, the “Applicable Rules”), and will be interpreted consistent therewith.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Applicability and Effective Date</w:t>
      </w:r>
    </w:p>
    <w:p>
      <w:pPr>
        <w:spacing w:after="0" w:line="237"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1"/>
          <w:szCs w:val="21"/>
          <w:color w:val="auto"/>
        </w:rPr>
        <w:t>The Policy will be effective as of the date shares of the Company’s common stock are first listed on Nasdaq (the “Effective Date”) and is applicable to all Incentive-Based Compensation (as defined below) received by Executive Officers (as defined below) on or after the Effective Date. The Policy will be administered by the Board or, if so designated by the Board, the Compensation Committee of the Board (the “Committee”), in which case references to the Board will be deemed to be references to the Committee. Any determination made by the Board under the Policy will be final and binding on all affected individuals. Each Executive Officer shall be required to execute the acknowledgement in Appendix A of the Policy as soon as practicable after the later of (i) the Effective Date and (ii) the date on which the employee is designated as an Executive Officer; provided, however, that failure to execute such acknowledgement shall have no impact on the enforceability of the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Restatement Clawback</w:t>
      </w:r>
    </w:p>
    <w:p>
      <w:pPr>
        <w:spacing w:after="0" w:line="170" w:lineRule="exact"/>
        <w:rPr>
          <w:sz w:val="20"/>
          <w:szCs w:val="20"/>
          <w:color w:val="auto"/>
        </w:rPr>
      </w:pPr>
    </w:p>
    <w:p>
      <w:pPr>
        <w:jc w:val="both"/>
        <w:ind w:firstLine="562"/>
        <w:spacing w:after="0" w:line="235"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(as defined below), any Executive Officer who received Excess Compensation (as defined below) during the three (3) completed fiscal years preceding the date the Company is required to prepare an Accounting Restatement (the “Look-Back Period”) shall be required to repay or forfeit such Excess Compensation reasonably promptly. For purposes of the Policy, the date the Company is required to prepare an Accounting Restatement is deemed to be the earlier of the date (i) the Board concludes, or reasonably should have concluded, that the Company is required to prepare an Accounting Restatement, or (ii) a court, regulator or other legally authorized body directs the Company to prepare an Accounting Restatement.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Method of Repayment, Conditions for Non-Recovery</w:t>
      </w:r>
    </w:p>
    <w:p>
      <w:pPr>
        <w:spacing w:after="0" w:line="237" w:lineRule="exact"/>
        <w:rPr>
          <w:sz w:val="20"/>
          <w:szCs w:val="20"/>
          <w:color w:val="auto"/>
        </w:rPr>
      </w:pPr>
    </w:p>
    <w:p>
      <w:pPr>
        <w:jc w:val="both"/>
        <w:ind w:firstLine="562"/>
        <w:spacing w:after="0" w:line="239" w:lineRule="auto"/>
        <w:rPr>
          <w:sz w:val="20"/>
          <w:szCs w:val="20"/>
          <w:color w:val="auto"/>
        </w:rPr>
      </w:pPr>
      <w:r>
        <w:rPr>
          <w:rFonts w:ascii="Times New Roman" w:cs="Times New Roman" w:eastAsia="Times New Roman" w:hAnsi="Times New Roman"/>
          <w:sz w:val="22"/>
          <w:szCs w:val="22"/>
          <w:color w:val="auto"/>
        </w:rPr>
        <w:t>The Board shall have discretion to determine the appropriate means of recovery of Excess Compensation, which may include, without limitation, direct payment in a lump sum from the Executive Officer, recovery over time, cancellation of outstanding awards, the reduction of future pay and/or awards and/or any other method which the Board determines is advisable to achieve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8" w:name="page319"/>
    <w:bookmarkEnd w:id="318"/>
    <w:p>
      <w:pPr>
        <w:jc w:val="both"/>
        <w:spacing w:after="0" w:line="239" w:lineRule="auto"/>
        <w:rPr>
          <w:sz w:val="20"/>
          <w:szCs w:val="20"/>
          <w:color w:val="auto"/>
        </w:rPr>
      </w:pPr>
      <w:r>
        <w:rPr>
          <w:rFonts w:ascii="Times New Roman" w:cs="Times New Roman" w:eastAsia="Times New Roman" w:hAnsi="Times New Roman"/>
          <w:sz w:val="22"/>
          <w:szCs w:val="22"/>
          <w:color w:val="auto"/>
        </w:rPr>
        <w:t>reasonably prompt recovery of Excess Compensation. At the direction of the Board, the Company shall take all actions reasonable and appropriate to recover Excess Compensation from any applicable Executive Officer, and such Executive Officer shall be required to reimburse the Company for any and all expenses reasonably incurred (including legal fees) by the Company in recovering such Excess Compensation in accordance with the Policy.</w:t>
      </w:r>
    </w:p>
    <w:p>
      <w:pPr>
        <w:spacing w:after="0" w:line="207" w:lineRule="exact"/>
        <w:rPr>
          <w:sz w:val="20"/>
          <w:szCs w:val="20"/>
          <w:color w:val="auto"/>
        </w:rPr>
      </w:pPr>
    </w:p>
    <w:p>
      <w:pPr>
        <w:jc w:val="both"/>
        <w:ind w:firstLine="562"/>
        <w:spacing w:after="0" w:line="248" w:lineRule="auto"/>
        <w:rPr>
          <w:sz w:val="20"/>
          <w:szCs w:val="20"/>
          <w:color w:val="auto"/>
        </w:rPr>
      </w:pPr>
      <w:r>
        <w:rPr>
          <w:rFonts w:ascii="Times New Roman" w:cs="Times New Roman" w:eastAsia="Times New Roman" w:hAnsi="Times New Roman"/>
          <w:sz w:val="21"/>
          <w:szCs w:val="21"/>
          <w:color w:val="auto"/>
        </w:rPr>
        <w:t>The Committee, or in the absence of the Committee, a majority of the independent directors on the Board, may determine that repayment of Excess Compensation (or a portion thereof) is not required only where it determines that recovery would be impracticable and one of the following circumstances exists: (i) the direct expense paid to a third party to assist in enforcing the Policy would exceed the amount to be recovered, provided the Company has (A) made a reasonable attempt to recover such Excess Compensation, (B) documented such reasonable attempt and (C) provided such documentation to Nasdaq; or (ii) recovery would likely cause an otherwise tax-qualified retirement plan, under which benefits are broadly available to employees of the Company, to fail to meet the requirements of 26 U.S.C. 401(a)(13) or 26 U.S.C. 411(a) and the regulations thereunder.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Fault Application, No Indemnification</w:t>
      </w:r>
    </w:p>
    <w:p>
      <w:pPr>
        <w:spacing w:after="0" w:line="237" w:lineRule="exact"/>
        <w:rPr>
          <w:sz w:val="20"/>
          <w:szCs w:val="20"/>
          <w:color w:val="auto"/>
        </w:rPr>
      </w:pPr>
    </w:p>
    <w:p>
      <w:pPr>
        <w:jc w:val="both"/>
        <w:ind w:firstLine="562"/>
        <w:spacing w:after="0" w:line="239" w:lineRule="auto"/>
        <w:rPr>
          <w:sz w:val="20"/>
          <w:szCs w:val="20"/>
          <w:color w:val="auto"/>
        </w:rPr>
      </w:pPr>
      <w:r>
        <w:rPr>
          <w:rFonts w:ascii="Times New Roman" w:cs="Times New Roman" w:eastAsia="Times New Roman" w:hAnsi="Times New Roman"/>
          <w:sz w:val="22"/>
          <w:szCs w:val="22"/>
          <w:color w:val="auto"/>
        </w:rPr>
        <w:t>Recovery of Excess Compensation under the Policy is on a “no fault” basis, meaning that it will occur regardless of whether the Executive Officer engaged in misconduct or was otherwise directly or indirectly responsible, in whole or in part, for the Accounting Restatement. No Executive Officer may be indemnified by the Company, or any of its affiliates, from losses arising from the application of the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For purposes of the Policy, the following definitions will apply:</w:t>
      </w:r>
    </w:p>
    <w:p>
      <w:pPr>
        <w:spacing w:after="0" w:line="229"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an accounting restatement due to the material noncompliance of the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208"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Changes to financial statements that do not constitute an Accounting Restatement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and (v) revisions for stock splits, reverse stock splits, stock dividends or other changes in capital structure.</w:t>
      </w: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9" w:name="page320"/>
    <w:bookmarkEnd w:id="319"/>
    <w:p>
      <w:pPr>
        <w:jc w:val="both"/>
        <w:ind w:left="76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“Excess Compensation” </w:t>
      </w:r>
      <w:r>
        <w:rPr>
          <w:rFonts w:ascii="Times New Roman" w:cs="Times New Roman" w:eastAsia="Times New Roman" w:hAnsi="Times New Roman"/>
          <w:sz w:val="22"/>
          <w:szCs w:val="22"/>
          <w:color w:val="auto"/>
        </w:rPr>
        <w:t>means any amount of Incentive-Based Compensation received by an Executive Officer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commencement of service as an Executive Officer that exceeds the amount of Incentive-Based Compensation that otherwise would have been received had it been determined based on the Accounting Restatement, computed without regard to any taxes paid. For Incentive-Based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price or total shareholder return, as applicable, and the Company shall retain documentation of the determination of such estimate and provide such documentation to Nasdaq if so required by the Applicable Rules. Incentive-Based Compensation is deemed received during the fiscal year during which the applicable financial reporting measure, stock price and/or total shareholder return measure, upon which the payment is based, is achieved, even if the grant or payment occurs after the end of such period.</w:t>
      </w:r>
    </w:p>
    <w:p>
      <w:pPr>
        <w:spacing w:after="0" w:line="203" w:lineRule="exact"/>
        <w:rPr>
          <w:sz w:val="20"/>
          <w:szCs w:val="20"/>
          <w:color w:val="auto"/>
        </w:rPr>
      </w:pPr>
    </w:p>
    <w:p>
      <w:pPr>
        <w:jc w:val="both"/>
        <w:ind w:left="760"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an individual who is, or was during the Look-Back Period, an executive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within the meaning of Rule 10D-1(d) under the Act.</w:t>
      </w:r>
    </w:p>
    <w:p>
      <w:pPr>
        <w:spacing w:after="0" w:line="177"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w:t>
      </w:r>
    </w:p>
    <w:p>
      <w:pPr>
        <w:spacing w:after="0" w:line="203"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Compensation that does not constitute “Incentive-Based Compensation” includes equity incentive awards for which the grant is not contingent upon achieving any financial reporting measure performance goal for an individual to receive such award and that vest exclusively upon completion of a specified employment period, without any performance condition, and bonus awards that are discretionary or based on subjective goals or goals unrelated to financial reporting measures.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Administration, Amendment, and Termination</w:t>
      </w:r>
    </w:p>
    <w:p>
      <w:pPr>
        <w:spacing w:after="0" w:line="23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21"/>
          <w:szCs w:val="21"/>
          <w:color w:val="auto"/>
        </w:rPr>
        <w:t>The Policy will be enforced and, if applicable, appropriate proxy disclosures and exhibit filings will be made in accordance with the Applicable Rules and any other applicable rules and regulations of the SEC and applicable Nasdaq listing standards.</w:t>
      </w:r>
    </w:p>
    <w:p>
      <w:pPr>
        <w:spacing w:after="0" w:line="162" w:lineRule="exact"/>
        <w:rPr>
          <w:sz w:val="20"/>
          <w:szCs w:val="20"/>
          <w:color w:val="auto"/>
        </w:rPr>
      </w:pPr>
    </w:p>
    <w:p>
      <w:pPr>
        <w:jc w:val="both"/>
        <w:ind w:right="20" w:firstLine="562"/>
        <w:spacing w:after="0" w:line="258" w:lineRule="auto"/>
        <w:rPr>
          <w:sz w:val="20"/>
          <w:szCs w:val="20"/>
          <w:color w:val="auto"/>
        </w:rPr>
      </w:pPr>
      <w:r>
        <w:rPr>
          <w:rFonts w:ascii="Times New Roman" w:cs="Times New Roman" w:eastAsia="Times New Roman" w:hAnsi="Times New Roman"/>
          <w:sz w:val="22"/>
          <w:szCs w:val="22"/>
          <w:color w:val="auto"/>
        </w:rPr>
        <w:t>The Board shall have authority to (i) exercise all of the powers granted to it under the Policy, (ii) construe, interpret and implement the Policy and (iii) make all determinations necessary or advisable in administering the Policy.</w:t>
      </w:r>
    </w:p>
    <w:p>
      <w:pPr>
        <w:spacing w:after="0" w:line="185"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2"/>
          <w:szCs w:val="22"/>
          <w:color w:val="auto"/>
        </w:rPr>
        <w:t>In addition, the Board may amend the Policy, from time to time in its discretion, and shall amend the Policy, as it deems necessary, including to reflect changes in any requirement of law, rule or regulation. The Board may terminate the Policy at any time. Any such amendment or termination shall not be effective if such amendment or termination would (after taking into</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0" w:name="page321"/>
    <w:bookmarkEnd w:id="320"/>
    <w:p>
      <w:pPr>
        <w:jc w:val="both"/>
        <w:spacing w:after="0" w:line="258" w:lineRule="auto"/>
        <w:rPr>
          <w:sz w:val="20"/>
          <w:szCs w:val="20"/>
          <w:color w:val="auto"/>
        </w:rPr>
      </w:pPr>
      <w:r>
        <w:rPr>
          <w:rFonts w:ascii="Times New Roman" w:cs="Times New Roman" w:eastAsia="Times New Roman" w:hAnsi="Times New Roman"/>
          <w:sz w:val="22"/>
          <w:szCs w:val="22"/>
          <w:color w:val="auto"/>
        </w:rPr>
        <w:t>account any actions taken by the Company contemporaneously with such amendment or termination) cause the Company to violate the Applicable Rules.</w:t>
      </w:r>
    </w:p>
    <w:p>
      <w:pPr>
        <w:spacing w:after="0" w:line="185"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2"/>
          <w:szCs w:val="22"/>
          <w:color w:val="auto"/>
        </w:rPr>
        <w:t>In the event of any conflict or inconsistency between the Policy and any other policies, plans or other materials of the Company (including any agreement between the Company and any Executive Officer subject to the Policy), the Policy will govern.</w:t>
      </w:r>
    </w:p>
    <w:p>
      <w:pPr>
        <w:spacing w:after="0" w:line="200"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22"/>
          <w:szCs w:val="22"/>
          <w:color w:val="auto"/>
        </w:rPr>
        <w:t>The Policy will be deemed to be automatically updated to incorporate any requirement of law, rule or regulation applicable to the Company, including any Applicable Rule.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on February 6, 2026</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EIKON THERAPEUTICS, INC.</w:t>
      </w:r>
    </w:p>
    <w:p>
      <w:pPr>
        <w:spacing w:after="0" w:line="1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Compensation Clawback Policy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acknowledges and agrees that the undersigned (i) is, and will be, subject to the Compensation Clawback Policy to which this acknowledgement is appended, as may be amended from time to time (the “Policy”), and (ii) will abide by the terms of the Policy, including by returning Excess Compensation pursuant to whatever method the Board determines is advisable to achieve reasonably prompt recovery of such Excess Compensation, as prescribed under the 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have the meanings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-151130</wp:posOffset>
            </wp:positionV>
            <wp:extent cx="35833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-151130</wp:posOffset>
            </wp:positionV>
            <wp:extent cx="286321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1189990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22" w:name="page323"/>
    <w:bookmarkEnd w:id="3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1."/>
      <w:numFmt w:val="decimal"/>
      <w:start w:val="2"/>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1)"/>
      <w:numFmt w:val="decimal"/>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1)"/>
      <w:numFmt w:val="decimal"/>
      <w:start w:val="1"/>
    </w:lvl>
  </w:abstractNum>
  <w:abstractNum w:abstractNumId="68">
    <w:nsid w:val="20EE1348"/>
    <w:multiLevelType w:val="hybridMultilevel"/>
    <w:lvl w:ilvl="0">
      <w:lvlJc w:val="left"/>
      <w:lvlText w:val="(%1)"/>
      <w:numFmt w:val="decimal"/>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1)"/>
      <w:numFmt w:val="decimal"/>
      <w:start w:val="1"/>
    </w:lvl>
  </w:abstractNum>
  <w:abstractNum w:abstractNumId="73">
    <w:nsid w:val="57D2F10E"/>
    <w:multiLevelType w:val="hybridMultilevel"/>
    <w:lvl w:ilvl="0">
      <w:lvlJc w:val="left"/>
      <w:lvlText w:val="(%1)"/>
      <w:numFmt w:val="decimal"/>
      <w:start w:val="2"/>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1)"/>
      <w:numFmt w:val="decimal"/>
      <w:start w:val="1"/>
    </w:lvl>
  </w:abstractNum>
  <w:abstractNum w:abstractNumId="76">
    <w:nsid w:val="2E48F044"/>
    <w:multiLevelType w:val="hybridMultilevel"/>
    <w:lvl w:ilvl="0">
      <w:lvlJc w:val="left"/>
      <w:lvlText w:val="(%1)"/>
      <w:numFmt w:val="decimal"/>
      <w:start w:val="3"/>
    </w:lvl>
  </w:abstractNum>
  <w:abstractNum w:abstractNumId="77">
    <w:nsid w:val="49D0FEAC"/>
    <w:multiLevelType w:val="hybridMultilevel"/>
    <w:lvl w:ilvl="0">
      <w:lvlJc w:val="left"/>
      <w:lvlText w:val="(%1)"/>
      <w:numFmt w:val="decimal"/>
      <w:start w:val="6"/>
    </w:lvl>
  </w:abstractNum>
  <w:abstractNum w:abstractNumId="78">
    <w:nsid w:val="4BEE5A5B"/>
    <w:multiLevelType w:val="hybridMultilevel"/>
    <w:lvl w:ilvl="0">
      <w:lvlJc w:val="left"/>
      <w:lvlText w:val="(%1)"/>
      <w:numFmt w:val="decimal"/>
      <w:start w:val="1"/>
    </w:lvl>
  </w:abstractNum>
  <w:abstractNum w:abstractNumId="79">
    <w:nsid w:val="5551B9F3"/>
    <w:multiLevelType w:val="hybridMultilevel"/>
    <w:lvl w:ilvl="0">
      <w:lvlJc w:val="left"/>
      <w:lvlText w:val="(%1)"/>
      <w:numFmt w:val="decimal"/>
      <w:start w:val="1"/>
    </w:lvl>
  </w:abstractNum>
  <w:abstractNum w:abstractNumId="80">
    <w:nsid w:val="24F6AB8E"/>
    <w:multiLevelType w:val="hybridMultilevel"/>
    <w:lvl w:ilvl="0">
      <w:lvlJc w:val="left"/>
      <w:lvlText w:val="(%1)"/>
      <w:numFmt w:val="decimal"/>
      <w:start w:val="1"/>
    </w:lvl>
  </w:abstractNum>
  <w:abstractNum w:abstractNumId="81">
    <w:nsid w:val="634C574C"/>
    <w:multiLevelType w:val="hybridMultilevel"/>
    <w:lvl w:ilvl="0">
      <w:lvlJc w:val="left"/>
      <w:lvlText w:val="(%1)"/>
      <w:numFmt w:val="decimal"/>
      <w:start w:val="1"/>
    </w:lvl>
  </w:abstractNum>
  <w:abstractNum w:abstractNumId="82">
    <w:nsid w:val="24E99DD7"/>
    <w:multiLevelType w:val="hybridMultilevel"/>
    <w:lvl w:ilvl="0">
      <w:lvlJc w:val="left"/>
      <w:lvlText w:val="(%1)"/>
      <w:numFmt w:val="decimal"/>
      <w:start w:val="1"/>
    </w:lvl>
  </w:abstractNum>
  <w:abstractNum w:abstractNumId="83">
    <w:nsid w:val="2A31B62D"/>
    <w:multiLevelType w:val="hybridMultilevel"/>
    <w:lvl w:ilvl="0">
      <w:lvlJc w:val="left"/>
      <w:lvlText w:val="(%1)"/>
      <w:numFmt w:val="lowerLetter"/>
      <w:start w:val="1"/>
    </w:lvl>
    <w:lvl w:ilvl="1">
      <w:lvlJc w:val="left"/>
      <w:lvlText w:val="(%2)"/>
      <w:numFmt w:val="decimal"/>
      <w:start w:val="1"/>
    </w:lvl>
  </w:abstractNum>
  <w:abstractNum w:abstractNumId="84">
    <w:nsid w:val="1849C29B"/>
    <w:multiLevelType w:val="hybridMultilevel"/>
    <w:lvl w:ilvl="0">
      <w:lvlJc w:val="left"/>
      <w:lvlText w:val="(%1)"/>
      <w:numFmt w:val="decimal"/>
      <w:start w:val="2"/>
    </w:lvl>
  </w:abstractNum>
  <w:abstractNum w:abstractNumId="85">
    <w:nsid w:val="7DFF9D09"/>
    <w:multiLevelType w:val="hybridMultilevel"/>
    <w:lvl w:ilvl="0">
      <w:lvlJc w:val="left"/>
      <w:lvlText w:val="(%1)"/>
      <w:numFmt w:val="decimal"/>
      <w:start w:val="3"/>
    </w:lvl>
  </w:abstractNum>
  <w:abstractNum w:abstractNumId="86">
    <w:nsid w:val="754342"/>
    <w:multiLevelType w:val="hybridMultilevel"/>
    <w:lvl w:ilvl="0">
      <w:lvlJc w:val="left"/>
      <w:lvlText w:val="(%1)"/>
      <w:numFmt w:val="lowerLetter"/>
      <w:start w:val="2"/>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1)"/>
      <w:numFmt w:val="lowerLetter"/>
      <w:start w:val="3"/>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1."/>
      <w:numFmt w:val="decimal"/>
      <w:start w:val="1"/>
    </w:lvl>
  </w:abstractNum>
  <w:abstractNum w:abstractNumId="93">
    <w:nsid w:val="61E74EA3"/>
    <w:multiLevelType w:val="hybridMultilevel"/>
    <w:lvl w:ilvl="0">
      <w:lvlJc w:val="left"/>
      <w:lvlText w:val="%1."/>
      <w:numFmt w:val="decimal"/>
      <w:start w:val="2"/>
    </w:lvl>
  </w:abstractNum>
  <w:abstractNum w:abstractNumId="94">
    <w:nsid w:val="597B4D84"/>
    <w:multiLevelType w:val="hybridMultilevel"/>
    <w:lvl w:ilvl="0">
      <w:lvlJc w:val="left"/>
      <w:lvlText w:val="(%1)"/>
      <w:numFmt w:val="lowerRoman"/>
      <w:start w:val="1"/>
    </w:lvl>
  </w:abstractNum>
  <w:abstractNum w:abstractNumId="95">
    <w:nsid w:val="F819E7F"/>
    <w:multiLevelType w:val="hybridMultilevel"/>
    <w:lvl w:ilvl="0">
      <w:lvlJc w:val="left"/>
      <w:lvlText w:val="(%1)"/>
      <w:numFmt w:val="lowerRoman"/>
      <w:start w:val="1"/>
    </w:lvl>
  </w:abstractNum>
  <w:abstractNum w:abstractNumId="96">
    <w:nsid w:val="57C7D42D"/>
    <w:multiLevelType w:val="hybridMultilevel"/>
    <w:lvl w:ilvl="0">
      <w:lvlJc w:val="left"/>
      <w:lvlText w:val="(%1)"/>
      <w:numFmt w:val="lowerRoman"/>
      <w:start w:val="3"/>
    </w:lvl>
  </w:abstractNum>
  <w:abstractNum w:abstractNumId="97">
    <w:nsid w:val="312167AD"/>
    <w:multiLevelType w:val="hybridMultilevel"/>
    <w:lvl w:ilvl="0">
      <w:lvlJc w:val="left"/>
      <w:lvlText w:val="(%1)"/>
      <w:numFmt w:val="decimal"/>
      <w:start w:val="3"/>
    </w:lvl>
  </w:abstractNum>
  <w:abstractNum w:abstractNumId="98">
    <w:nsid w:val="631B64D4"/>
    <w:multiLevelType w:val="hybridMultilevel"/>
    <w:lvl w:ilvl="0">
      <w:lvlJc w:val="left"/>
      <w:lvlText w:val="(%1)"/>
      <w:numFmt w:val="lowerRoman"/>
      <w:start w:val="1"/>
    </w:lvl>
  </w:abstractNum>
  <w:abstractNum w:abstractNumId="99">
    <w:nsid w:val="78B5E776"/>
    <w:multiLevelType w:val="hybridMultilevel"/>
    <w:lvl w:ilvl="0">
      <w:lvlJc w:val="left"/>
      <w:lvlText w:val="(%1)"/>
      <w:numFmt w:val="lowerRoman"/>
      <w:start w:val="2"/>
    </w:lvl>
  </w:abstractNum>
  <w:abstractNum w:abstractNumId="100">
    <w:nsid w:val="75486E47"/>
    <w:multiLevelType w:val="hybridMultilevel"/>
    <w:lvl w:ilvl="0">
      <w:lvlJc w:val="left"/>
      <w:lvlText w:val="%1."/>
      <w:numFmt w:val="decimal"/>
      <w:start w:val="3"/>
    </w:lvl>
    <w:lvl w:ilvl="1">
      <w:lvlJc w:val="left"/>
      <w:lvlText w:val="(%2)"/>
      <w:numFmt w:val="lowerLetter"/>
      <w:start w:val="1"/>
    </w:lvl>
  </w:abstractNum>
  <w:abstractNum w:abstractNumId="101">
    <w:nsid w:val="6E534CDE"/>
    <w:multiLevelType w:val="hybridMultilevel"/>
    <w:lvl w:ilvl="0">
      <w:lvlJc w:val="left"/>
      <w:lvlText w:val="%1."/>
      <w:numFmt w:val="decimal"/>
      <w:start w:val="4"/>
    </w:lvl>
    <w:lvl w:ilvl="1">
      <w:lvlJc w:val="left"/>
      <w:lvlText w:val="(%2)"/>
      <w:numFmt w:val="lowerLetter"/>
      <w:start w:val="1"/>
    </w:lvl>
  </w:abstractNum>
  <w:abstractNum w:abstractNumId="102">
    <w:nsid w:val="1A0DDE32"/>
    <w:multiLevelType w:val="hybridMultilevel"/>
    <w:lvl w:ilvl="0">
      <w:lvlJc w:val="left"/>
      <w:lvlText w:val="(%1)"/>
      <w:numFmt w:val="lowerRoman"/>
      <w:start w:val="1"/>
    </w:lvl>
  </w:abstractNum>
  <w:abstractNum w:abstractNumId="103">
    <w:nsid w:val="65968C1C"/>
    <w:multiLevelType w:val="hybridMultilevel"/>
    <w:lvl w:ilvl="0">
      <w:lvlJc w:val="left"/>
      <w:lvlText w:val="(%1)"/>
      <w:numFmt w:val="lowerRoman"/>
      <w:start w:val="7"/>
    </w:lvl>
  </w:abstractNum>
  <w:abstractNum w:abstractNumId="104">
    <w:nsid w:val="46263DEC"/>
    <w:multiLevelType w:val="hybridMultilevel"/>
    <w:lvl w:ilvl="0">
      <w:lvlJc w:val="left"/>
      <w:lvlText w:val="(%1)"/>
      <w:numFmt w:val="lowerLetter"/>
      <w:start w:val="6"/>
    </w:lvl>
    <w:lvl w:ilvl="1">
      <w:lvlJc w:val="left"/>
      <w:lvlText w:val="(%2)"/>
      <w:numFmt w:val="lowerRoman"/>
      <w:start w:val="1"/>
    </w:lvl>
  </w:abstractNum>
  <w:abstractNum w:abstractNumId="105">
    <w:nsid w:val="260D8C4A"/>
    <w:multiLevelType w:val="hybridMultilevel"/>
    <w:lvl w:ilvl="0">
      <w:lvlJc w:val="left"/>
      <w:lvlText w:val="(%1)"/>
      <w:numFmt w:val="lowerRoman"/>
      <w:start w:val="5"/>
    </w:lvl>
  </w:abstractNum>
  <w:abstractNum w:abstractNumId="106">
    <w:nsid w:val="73D4D3C4"/>
    <w:multiLevelType w:val="hybridMultilevel"/>
    <w:lvl w:ilvl="0">
      <w:lvlJc w:val="left"/>
      <w:lvlText w:val="(%1)"/>
      <w:numFmt w:val="lowerRoman"/>
      <w:start w:val="1"/>
    </w:lvl>
  </w:abstractNum>
  <w:abstractNum w:abstractNumId="107">
    <w:nsid w:val="746F2E30"/>
    <w:multiLevelType w:val="hybridMultilevel"/>
    <w:lvl w:ilvl="0">
      <w:lvlJc w:val="left"/>
      <w:lvlText w:val="%1."/>
      <w:numFmt w:val="decimal"/>
      <w:start w:val="5"/>
    </w:lvl>
  </w:abstractNum>
  <w:abstractNum w:abstractNumId="108">
    <w:nsid w:val="6FDE8AF6"/>
    <w:multiLevelType w:val="hybridMultilevel"/>
    <w:lvl w:ilvl="0">
      <w:lvlJc w:val="left"/>
      <w:lvlText w:val="%1."/>
      <w:numFmt w:val="decimal"/>
      <w:start w:val="6"/>
    </w:lvl>
  </w:abstractNum>
  <w:abstractNum w:abstractNumId="109">
    <w:nsid w:val="3FC32E20"/>
    <w:multiLevelType w:val="hybridMultilevel"/>
    <w:lvl w:ilvl="0">
      <w:lvlJc w:val="left"/>
      <w:lvlText w:val="(%1)"/>
      <w:numFmt w:val="lowerLetter"/>
      <w:start w:val="6"/>
    </w:lvl>
  </w:abstractNum>
  <w:abstractNum w:abstractNumId="110">
    <w:nsid w:val="49C0E823"/>
    <w:multiLevelType w:val="hybridMultilevel"/>
    <w:lvl w:ilvl="0">
      <w:lvlJc w:val="left"/>
      <w:lvlText w:val="%1."/>
      <w:numFmt w:val="decimal"/>
      <w:start w:val="7"/>
    </w:lvl>
  </w:abstractNum>
  <w:abstractNum w:abstractNumId="111">
    <w:nsid w:val="14D53685"/>
    <w:multiLevelType w:val="hybridMultilevel"/>
    <w:lvl w:ilvl="0">
      <w:lvlJc w:val="left"/>
      <w:lvlText w:val="(%1)"/>
      <w:numFmt w:val="decimal"/>
      <w:start w:val="3"/>
    </w:lvl>
    <w:lvl w:ilvl="1">
      <w:lvlJc w:val="left"/>
      <w:lvlText w:val="(%2)"/>
      <w:numFmt w:val="lowerLetter"/>
      <w:start w:val="4"/>
    </w:lvl>
  </w:abstractNum>
  <w:abstractNum w:abstractNumId="112">
    <w:nsid w:val="230F856C"/>
    <w:multiLevelType w:val="hybridMultilevel"/>
    <w:lvl w:ilvl="0">
      <w:lvlJc w:val="left"/>
      <w:lvlText w:val="(%1)"/>
      <w:numFmt w:val="lowerLetter"/>
      <w:start w:val="6"/>
    </w:lvl>
  </w:abstractNum>
  <w:abstractNum w:abstractNumId="113">
    <w:nsid w:val="6EAA85FB"/>
    <w:multiLevelType w:val="hybridMultilevel"/>
    <w:lvl w:ilvl="0">
      <w:lvlJc w:val="left"/>
      <w:lvlText w:val="(%1)"/>
      <w:numFmt w:val="lowerRoman"/>
      <w:start w:val="1"/>
    </w:lvl>
  </w:abstractNum>
  <w:abstractNum w:abstractNumId="114">
    <w:nsid w:val="3F06ECB2"/>
    <w:multiLevelType w:val="hybridMultilevel"/>
    <w:lvl w:ilvl="0">
      <w:lvlJc w:val="left"/>
      <w:lvlText w:val="(%1)"/>
      <w:numFmt w:val="lowerLetter"/>
      <w:start w:val="10"/>
    </w:lvl>
  </w:abstractNum>
  <w:abstractNum w:abstractNumId="115">
    <w:nsid w:val="3B594807"/>
    <w:multiLevelType w:val="hybridMultilevel"/>
    <w:lvl w:ilvl="0">
      <w:lvlJc w:val="left"/>
      <w:lvlText w:val="%1."/>
      <w:numFmt w:val="decimal"/>
      <w:start w:val="8"/>
    </w:lvl>
    <w:lvl w:ilvl="1">
      <w:lvlJc w:val="left"/>
      <w:lvlText w:val="(%2)"/>
      <w:numFmt w:val="lowerLetter"/>
      <w:start w:val="1"/>
    </w:lvl>
  </w:abstractNum>
  <w:abstractNum w:abstractNumId="116">
    <w:nsid w:val="6CAA2304"/>
    <w:multiLevelType w:val="hybridMultilevel"/>
    <w:lvl w:ilvl="0">
      <w:lvlJc w:val="left"/>
      <w:lvlText w:val="(%1)"/>
      <w:numFmt w:val="lowerLetter"/>
      <w:start w:val="6"/>
    </w:lvl>
  </w:abstractNum>
  <w:abstractNum w:abstractNumId="117">
    <w:nsid w:val="3F7C2FF4"/>
    <w:multiLevelType w:val="hybridMultilevel"/>
    <w:lvl w:ilvl="0">
      <w:lvlJc w:val="left"/>
      <w:lvlText w:val="%1."/>
      <w:numFmt w:val="decimal"/>
      <w:start w:val="9"/>
    </w:lvl>
  </w:abstractNum>
  <w:abstractNum w:abstractNumId="118">
    <w:nsid w:val="25413BEC"/>
    <w:multiLevelType w:val="hybridMultilevel"/>
    <w:lvl w:ilvl="0">
      <w:lvlJc w:val="left"/>
      <w:lvlText w:val="%1."/>
      <w:numFmt w:val="decimal"/>
      <w:start w:val="10"/>
    </w:lvl>
  </w:abstractNum>
  <w:abstractNum w:abstractNumId="119">
    <w:nsid w:val="17180B0B"/>
    <w:multiLevelType w:val="hybridMultilevel"/>
    <w:lvl w:ilvl="0">
      <w:lvlJc w:val="left"/>
      <w:lvlText w:val="%1."/>
      <w:numFmt w:val="decimal"/>
      <w:start w:val="11"/>
    </w:lvl>
    <w:lvl w:ilvl="1">
      <w:lvlJc w:val="left"/>
      <w:lvlText w:val="(%2)"/>
      <w:numFmt w:val="lowerLetter"/>
      <w:start w:val="1"/>
    </w:lvl>
  </w:abstractNum>
  <w:abstractNum w:abstractNumId="120">
    <w:nsid w:val="579328B9"/>
    <w:multiLevelType w:val="hybridMultilevel"/>
    <w:lvl w:ilvl="0">
      <w:lvlJc w:val="left"/>
      <w:lvlText w:val="(%1)"/>
      <w:numFmt w:val="lowerRoman"/>
      <w:start w:val="1"/>
    </w:lvl>
  </w:abstractNum>
  <w:abstractNum w:abstractNumId="121">
    <w:nsid w:val="5D205E20"/>
    <w:multiLevelType w:val="hybridMultilevel"/>
    <w:lvl w:ilvl="0">
      <w:lvlJc w:val="left"/>
      <w:lvlText w:val="%1."/>
      <w:numFmt w:val="decimal"/>
      <w:start w:val="12"/>
    </w:lvl>
    <w:lvl w:ilvl="1">
      <w:lvlJc w:val="left"/>
      <w:lvlText w:val="(%2)"/>
      <w:numFmt w:val="lowerLetter"/>
      <w:start w:val="1"/>
    </w:lvl>
  </w:abstractNum>
  <w:abstractNum w:abstractNumId="122">
    <w:nsid w:val="11CCA8BA"/>
    <w:multiLevelType w:val="hybridMultilevel"/>
    <w:lvl w:ilvl="0">
      <w:lvlJc w:val="left"/>
      <w:lvlText w:val="%1."/>
      <w:numFmt w:val="decimal"/>
      <w:start w:val="13"/>
    </w:lvl>
    <w:lvl w:ilvl="1">
      <w:lvlJc w:val="left"/>
      <w:lvlText w:val="(%2)"/>
      <w:numFmt w:val="lowerLetter"/>
      <w:start w:val="1"/>
    </w:lvl>
  </w:abstractNum>
  <w:abstractNum w:abstractNumId="123">
    <w:nsid w:val="4D32AB8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4">
    <w:nsid w:val="3F07ACC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5">
    <w:nsid w:val="6B47F63E"/>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7"/>
    </w:lvl>
  </w:abstractNum>
  <w:abstractNum w:abstractNumId="126">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27">
    <w:nsid w:val="16CF80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8">
    <w:nsid w:val="1C695DE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29">
    <w:nsid w:val="3FCFAED9"/>
    <w:multiLevelType w:val="hybridMultilevel"/>
    <w:lvl w:ilvl="0">
      <w:lvlJc w:val="left"/>
      <w:lvlText w:val="%1."/>
      <w:numFmt w:val="decimal"/>
      <w:start w:val="16"/>
    </w:lvl>
  </w:abstractNum>
  <w:abstractNum w:abstractNumId="130">
    <w:nsid w:val="F856867"/>
    <w:multiLevelType w:val="hybridMultilevel"/>
    <w:lvl w:ilvl="0">
      <w:lvlJc w:val="left"/>
      <w:lvlText w:val="%1."/>
      <w:numFmt w:val="decimal"/>
      <w:start w:val="17"/>
    </w:lvl>
    <w:lvl w:ilvl="1">
      <w:lvlJc w:val="left"/>
      <w:lvlText w:val="(%2)"/>
      <w:numFmt w:val="lowerLetter"/>
      <w:start w:val="1"/>
    </w:lvl>
  </w:abstractNum>
  <w:abstractNum w:abstractNumId="131">
    <w:nsid w:val="11B1CC33"/>
    <w:multiLevelType w:val="hybridMultilevel"/>
    <w:lvl w:ilvl="0">
      <w:lvlJc w:val="left"/>
      <w:lvlText w:val="%1."/>
      <w:numFmt w:val="decimal"/>
      <w:start w:val="18"/>
    </w:lvl>
    <w:lvl w:ilvl="1">
      <w:lvlJc w:val="left"/>
      <w:lvlText w:val="(%2)"/>
      <w:numFmt w:val="lowerLetter"/>
      <w:start w:val="1"/>
    </w:lvl>
  </w:abstractNum>
  <w:abstractNum w:abstractNumId="132">
    <w:nsid w:val="2E22FBB7"/>
    <w:multiLevelType w:val="hybridMultilevel"/>
    <w:lvl w:ilvl="0">
      <w:lvlJc w:val="left"/>
      <w:lvlText w:val="%1."/>
      <w:numFmt w:val="decimal"/>
      <w:start w:val="20"/>
    </w:lvl>
  </w:abstractNum>
  <w:abstractNum w:abstractNumId="133">
    <w:nsid w:val="29934699"/>
    <w:multiLevelType w:val="hybridMultilevel"/>
    <w:lvl w:ilvl="0">
      <w:lvlJc w:val="left"/>
      <w:lvlText w:val="%1."/>
      <w:numFmt w:val="decimal"/>
      <w:start w:val="21"/>
    </w:lvl>
  </w:abstractNum>
  <w:abstractNum w:abstractNumId="134">
    <w:nsid w:val="77485850"/>
    <w:multiLevelType w:val="hybridMultilevel"/>
    <w:lvl w:ilvl="0">
      <w:lvlJc w:val="left"/>
      <w:lvlText w:val="%1."/>
      <w:numFmt w:val="decimal"/>
      <w:start w:val="22"/>
    </w:lvl>
  </w:abstractNum>
  <w:abstractNum w:abstractNumId="135">
    <w:nsid w:val="744939A3"/>
    <w:multiLevelType w:val="hybridMultilevel"/>
    <w:lvl w:ilvl="0">
      <w:lvlJc w:val="left"/>
      <w:lvlText w:val="%1."/>
      <w:numFmt w:val="decimal"/>
      <w:start w:val="23"/>
    </w:lvl>
  </w:abstractNum>
  <w:abstractNum w:abstractNumId="136">
    <w:nsid w:val="4FA0D2E3"/>
    <w:multiLevelType w:val="hybridMultilevel"/>
    <w:lvl w:ilvl="0">
      <w:lvlJc w:val="left"/>
      <w:lvlText w:val="%1."/>
      <w:numFmt w:val="decimal"/>
      <w:start w:val="24"/>
    </w:lvl>
  </w:abstractNum>
  <w:abstractNum w:abstractNumId="137">
    <w:nsid w:val="6B1D2C14"/>
    <w:multiLevelType w:val="hybridMultilevel"/>
    <w:lvl w:ilvl="0">
      <w:lvlJc w:val="left"/>
      <w:lvlText w:val="%1."/>
      <w:numFmt w:val="decimal"/>
      <w:start w:val="25"/>
    </w:lvl>
  </w:abstractNum>
  <w:abstractNum w:abstractNumId="138">
    <w:nsid w:val="68B867D3"/>
    <w:multiLevelType w:val="hybridMultilevel"/>
    <w:lvl w:ilvl="0">
      <w:lvlJc w:val="left"/>
      <w:lvlText w:val="%1."/>
      <w:numFmt w:val="decimal"/>
      <w:start w:val="26"/>
    </w:lvl>
  </w:abstractNum>
  <w:abstractNum w:abstractNumId="139">
    <w:nsid w:val="3F7F5DD9"/>
    <w:multiLevelType w:val="hybridMultilevel"/>
    <w:lvl w:ilvl="0">
      <w:lvlJc w:val="left"/>
      <w:lvlText w:val="(%1)"/>
      <w:numFmt w:val="decimal"/>
      <w:start w:val="12"/>
    </w:lvl>
  </w:abstractNum>
  <w:abstractNum w:abstractNumId="140">
    <w:nsid w:val="2AE05A34"/>
    <w:multiLevelType w:val="hybridMultilevel"/>
    <w:lvl w:ilvl="0">
      <w:lvlJc w:val="left"/>
      <w:lvlText w:val="(%1)"/>
      <w:numFmt w:val="lowerLetter"/>
      <w:start w:val="2"/>
    </w:lvl>
  </w:abstractNum>
  <w:abstractNum w:abstractNumId="141">
    <w:nsid w:val="32794FF7"/>
    <w:multiLevelType w:val="hybridMultilevel"/>
    <w:lvl w:ilvl="0">
      <w:lvlJc w:val="left"/>
      <w:lvlText w:val="%1."/>
      <w:numFmt w:val="decimal"/>
      <w:start w:val="1"/>
    </w:lvl>
  </w:abstractNum>
  <w:abstractNum w:abstractNumId="142">
    <w:nsid w:val="5454945E"/>
    <w:multiLevelType w:val="hybridMultilevel"/>
    <w:lvl w:ilvl="0">
      <w:lvlJc w:val="left"/>
      <w:lvlText w:val="%1."/>
      <w:numFmt w:val="decimal"/>
      <w:start w:val="2"/>
    </w:lvl>
  </w:abstractNum>
  <w:abstractNum w:abstractNumId="143">
    <w:nsid w:val="4DEFDFA0"/>
    <w:multiLevelType w:val="hybridMultilevel"/>
    <w:lvl w:ilvl="0">
      <w:lvlJc w:val="left"/>
      <w:lvlText w:val="%1."/>
      <w:numFmt w:val="decimal"/>
      <w:start w:val="3"/>
    </w:lvl>
    <w:lvl w:ilvl="1">
      <w:lvlJc w:val="left"/>
      <w:lvlText w:val="(%2)"/>
      <w:numFmt w:val="lowerLetter"/>
      <w:start w:val="1"/>
    </w:lvl>
  </w:abstractNum>
  <w:abstractNum w:abstractNumId="144">
    <w:nsid w:val="2123D5F2"/>
    <w:multiLevelType w:val="hybridMultilevel"/>
    <w:lvl w:ilvl="0">
      <w:lvlJc w:val="left"/>
      <w:lvlText w:val="%1."/>
      <w:numFmt w:val="decimal"/>
      <w:start w:val="6"/>
    </w:lvl>
  </w:abstractNum>
  <w:abstractNum w:abstractNumId="145">
    <w:nsid w:val="135B8110"/>
    <w:multiLevelType w:val="hybridMultilevel"/>
    <w:lvl w:ilvl="0">
      <w:lvlJc w:val="left"/>
      <w:lvlText w:val="%1."/>
      <w:numFmt w:val="decimal"/>
      <w:start w:val="7"/>
    </w:lvl>
  </w:abstractNum>
  <w:abstractNum w:abstractNumId="146">
    <w:nsid w:val="94927A8"/>
    <w:multiLevelType w:val="hybridMultilevel"/>
    <w:lvl w:ilvl="0">
      <w:lvlJc w:val="left"/>
      <w:lvlText w:val="%1."/>
      <w:numFmt w:val="decimal"/>
      <w:start w:val="8"/>
    </w:lvl>
    <w:lvl w:ilvl="1">
      <w:lvlJc w:val="left"/>
      <w:lvlText w:val="(%2)"/>
      <w:numFmt w:val="lowerLetter"/>
      <w:start w:val="1"/>
    </w:lvl>
  </w:abstractNum>
  <w:abstractNum w:abstractNumId="147">
    <w:nsid w:val="DCDF8F6"/>
    <w:multiLevelType w:val="hybridMultilevel"/>
    <w:lvl w:ilvl="0">
      <w:lvlJc w:val="left"/>
      <w:lvlText w:val="%1"/>
      <w:numFmt w:val="decimal"/>
      <w:start w:val="1"/>
    </w:lvl>
    <w:lvl w:ilvl="1">
      <w:lvlJc w:val="left"/>
      <w:lvlText w:val="(%2)"/>
      <w:numFmt w:val="lowerLetter"/>
      <w:start w:val="3"/>
    </w:lvl>
  </w:abstractNum>
  <w:abstractNum w:abstractNumId="148">
    <w:nsid w:val="52D7B105"/>
    <w:multiLevelType w:val="hybridMultilevel"/>
    <w:lvl w:ilvl="0">
      <w:lvlJc w:val="left"/>
      <w:lvlText w:val="%1."/>
      <w:numFmt w:val="decimal"/>
      <w:start w:val="9"/>
    </w:lvl>
    <w:lvl w:ilvl="1">
      <w:lvlJc w:val="left"/>
      <w:lvlText w:val="%2"/>
      <w:numFmt w:val="lowerLetter"/>
      <w:start w:val="1"/>
    </w:lvl>
  </w:abstractNum>
  <w:abstractNum w:abstractNumId="149">
    <w:nsid w:val="2E8A6394"/>
    <w:multiLevelType w:val="hybridMultilevel"/>
    <w:lvl w:ilvl="0">
      <w:lvlJc w:val="left"/>
      <w:lvlText w:val="%1."/>
      <w:numFmt w:val="decimal"/>
      <w:start w:val="10"/>
    </w:lvl>
  </w:abstractNum>
  <w:abstractNum w:abstractNumId="150">
    <w:nsid w:val="24E60401"/>
    <w:multiLevelType w:val="hybridMultilevel"/>
    <w:lvl w:ilvl="0">
      <w:lvlJc w:val="left"/>
      <w:lvlText w:val="%1."/>
      <w:numFmt w:val="decimal"/>
      <w:start w:val="11"/>
    </w:lvl>
  </w:abstractNum>
  <w:abstractNum w:abstractNumId="151">
    <w:nsid w:val="2A6AD9BE"/>
    <w:multiLevelType w:val="hybridMultilevel"/>
    <w:lvl w:ilvl="0">
      <w:lvlJc w:val="left"/>
      <w:lvlText w:val="%1."/>
      <w:numFmt w:val="decimal"/>
      <w:start w:val="12"/>
    </w:lvl>
  </w:abstractNum>
  <w:abstractNum w:abstractNumId="152">
    <w:nsid w:val="BAAC1B4"/>
    <w:multiLevelType w:val="hybridMultilevel"/>
    <w:lvl w:ilvl="0">
      <w:lvlJc w:val="left"/>
      <w:lvlText w:val="%1."/>
      <w:numFmt w:val="decimal"/>
      <w:start w:val="13"/>
    </w:lvl>
  </w:abstractNum>
  <w:abstractNum w:abstractNumId="153">
    <w:nsid w:val="36B2ACBC"/>
    <w:multiLevelType w:val="hybridMultilevel"/>
    <w:lvl w:ilvl="0">
      <w:lvlJc w:val="left"/>
      <w:lvlText w:val="%1."/>
      <w:numFmt w:val="decimal"/>
      <w:start w:val="14"/>
    </w:lvl>
    <w:lvl w:ilvl="1">
      <w:lvlJc w:val="left"/>
      <w:lvlText w:val="(%2)"/>
      <w:numFmt w:val="lowerLetter"/>
      <w:start w:val="1"/>
    </w:lvl>
  </w:abstractNum>
  <w:abstractNum w:abstractNumId="154">
    <w:nsid w:val="779D8544"/>
    <w:multiLevelType w:val="hybridMultilevel"/>
    <w:lvl w:ilvl="0">
      <w:lvlJc w:val="left"/>
      <w:lvlText w:val="%1."/>
      <w:numFmt w:val="decimal"/>
      <w:start w:val="16"/>
    </w:lvl>
  </w:abstractNum>
  <w:abstractNum w:abstractNumId="155">
    <w:nsid w:val="4AB26E78"/>
    <w:multiLevelType w:val="hybridMultilevel"/>
    <w:lvl w:ilvl="0">
      <w:lvlJc w:val="left"/>
      <w:lvlText w:val="%1."/>
      <w:numFmt w:val="decimal"/>
      <w:start w:val="17"/>
    </w:lvl>
  </w:abstractNum>
  <w:abstractNum w:abstractNumId="156">
    <w:nsid w:val="21FAA2FA"/>
    <w:multiLevelType w:val="hybridMultilevel"/>
    <w:lvl w:ilvl="0">
      <w:lvlJc w:val="left"/>
      <w:lvlText w:val="%1."/>
      <w:numFmt w:val="decimal"/>
      <w:start w:val="18"/>
    </w:lvl>
  </w:abstractNum>
  <w:abstractNum w:abstractNumId="157">
    <w:nsid w:val="5451CF49"/>
    <w:multiLevelType w:val="hybridMultilevel"/>
    <w:lvl w:ilvl="0">
      <w:lvlJc w:val="left"/>
      <w:lvlText w:val="%1."/>
      <w:numFmt w:val="decimal"/>
      <w:start w:val="19"/>
    </w:lvl>
  </w:abstractNum>
  <w:abstractNum w:abstractNumId="158">
    <w:nsid w:val="6181EF69"/>
    <w:multiLevelType w:val="hybridMultilevel"/>
    <w:lvl w:ilvl="0">
      <w:lvlJc w:val="left"/>
      <w:lvlText w:val="%1."/>
      <w:numFmt w:val="decimal"/>
      <w:start w:val="20"/>
    </w:lvl>
  </w:abstractNum>
  <w:abstractNum w:abstractNumId="159">
    <w:nsid w:val="3E6400E6"/>
    <w:multiLevelType w:val="hybridMultilevel"/>
    <w:lvl w:ilvl="0">
      <w:lvlJc w:val="left"/>
      <w:lvlText w:val="(%1)"/>
      <w:numFmt w:val="lowerLetter"/>
      <w:start w:val="1"/>
    </w:lvl>
  </w:abstractNum>
  <w:abstractNum w:abstractNumId="160">
    <w:nsid w:val="14217E23"/>
    <w:multiLevelType w:val="hybridMultilevel"/>
    <w:lvl w:ilvl="0">
      <w:lvlJc w:val="left"/>
      <w:lvlText w:val="(%1)"/>
      <w:numFmt w:val="lowerLetter"/>
      <w:start w:val="6"/>
    </w:lvl>
  </w:abstractNum>
  <w:abstractNum w:abstractNumId="161">
    <w:nsid w:val="710757D0"/>
    <w:multiLevelType w:val="hybridMultilevel"/>
    <w:lvl w:ilvl="0">
      <w:lvlJc w:val="left"/>
      <w:lvlText w:val="%1."/>
      <w:numFmt w:val="upperLetter"/>
      <w:start w:val="9"/>
    </w:lvl>
  </w:abstractNum>
  <w:abstractNum w:abstractNumId="162">
    <w:nsid w:val="5015CD1A"/>
    <w:multiLevelType w:val="hybridMultilevel"/>
    <w:lvl w:ilvl="0">
      <w:lvlJc w:val="left"/>
      <w:lvlText w:val="%1."/>
      <w:numFmt w:val="upperLetter"/>
      <w:start w:val="35"/>
    </w:lvl>
  </w:abstractNum>
  <w:abstractNum w:abstractNumId="163">
    <w:nsid w:val="424479DA"/>
    <w:multiLevelType w:val="hybridMultilevel"/>
    <w:lvl w:ilvl="0">
      <w:lvlJc w:val="left"/>
      <w:lvlText w:val="%1."/>
      <w:numFmt w:val="upperLetter"/>
      <w:start w:val="61"/>
    </w:lvl>
  </w:abstractNum>
  <w:abstractNum w:abstractNumId="164">
    <w:nsid w:val="1A9A9E69"/>
    <w:multiLevelType w:val="hybridMultilevel"/>
    <w:lvl w:ilvl="0">
      <w:lvlJc w:val="left"/>
      <w:lvlText w:val="%1."/>
      <w:numFmt w:val="upperLetter"/>
      <w:start w:val="1"/>
    </w:lvl>
  </w:abstractNum>
  <w:abstractNum w:abstractNumId="165">
    <w:nsid w:val="475E256A"/>
    <w:multiLevelType w:val="hybridMultilevel"/>
    <w:lvl w:ilvl="0">
      <w:lvlJc w:val="left"/>
      <w:lvlText w:val="•"/>
      <w:numFmt w:val="bullet"/>
      <w:start w:val="1"/>
    </w:lvl>
  </w:abstractNum>
  <w:abstractNum w:abstractNumId="166">
    <w:nsid w:val="368DB37E"/>
    <w:multiLevelType w:val="hybridMultilevel"/>
    <w:lvl w:ilvl="0">
      <w:lvlJc w:val="left"/>
      <w:lvlText w:val="%1."/>
      <w:numFmt w:val="upperLetter"/>
      <w:start w:val="2"/>
    </w:lvl>
  </w:abstractNum>
  <w:abstractNum w:abstractNumId="167">
    <w:nsid w:val="6A3B714C"/>
    <w:multiLevelType w:val="hybridMultilevel"/>
    <w:lvl w:ilvl="0">
      <w:lvlJc w:val="left"/>
      <w:lvlText w:val="•"/>
      <w:numFmt w:val="bullet"/>
      <w:start w:val="1"/>
    </w:lvl>
  </w:abstractNum>
  <w:abstractNum w:abstractNumId="168">
    <w:nsid w:val="327B517E"/>
    <w:multiLevelType w:val="hybridMultilevel"/>
    <w:lvl w:ilvl="0">
      <w:lvlJc w:val="left"/>
      <w:lvlText w:val="•"/>
      <w:numFmt w:val="bullet"/>
      <w:start w:val="1"/>
    </w:lvl>
  </w:abstractNum>
  <w:abstractNum w:abstractNumId="169">
    <w:nsid w:val="1F461B51"/>
    <w:multiLevelType w:val="hybridMultilevel"/>
    <w:lvl w:ilvl="0">
      <w:lvlJc w:val="left"/>
      <w:lvlText w:val="%1."/>
      <w:numFmt w:val="upperLetter"/>
      <w:start w:val="3"/>
    </w:lvl>
  </w:abstractNum>
  <w:abstractNum w:abstractNumId="170">
    <w:nsid w:val="29BACF25"/>
    <w:multiLevelType w:val="hybridMultilevel"/>
    <w:lvl w:ilvl="0">
      <w:lvlJc w:val="left"/>
      <w:lvlText w:val="%1."/>
      <w:numFmt w:val="upperLetter"/>
      <w:start w:val="22"/>
    </w:lvl>
  </w:abstractNum>
  <w:abstractNum w:abstractNumId="171">
    <w:nsid w:val="5D5BABB3"/>
    <w:multiLevelType w:val="hybridMultilevel"/>
    <w:lvl w:ilvl="0">
      <w:lvlJc w:val="left"/>
      <w:lvlText w:val="%1."/>
      <w:numFmt w:val="upperLetter"/>
      <w:start w:val="1"/>
    </w:lvl>
  </w:abstractNum>
  <w:abstractNum w:abstractNumId="172">
    <w:nsid w:val="51BF6B48"/>
    <w:multiLevelType w:val="hybridMultilevel"/>
    <w:lvl w:ilvl="0">
      <w:lvlJc w:val="left"/>
      <w:lvlText w:val="%1."/>
      <w:numFmt w:val="upperLetter"/>
      <w:start w:val="2"/>
    </w:lvl>
  </w:abstractNum>
  <w:abstractNum w:abstractNumId="173">
    <w:nsid w:val="7E0F6384"/>
    <w:multiLevelType w:val="hybridMultilevel"/>
    <w:lvl w:ilvl="0">
      <w:lvlJc w:val="left"/>
      <w:lvlText w:val="%1."/>
      <w:numFmt w:val="upperLetter"/>
      <w:start w:val="3"/>
    </w:lvl>
  </w:abstractNum>
  <w:abstractNum w:abstractNumId="174">
    <w:nsid w:val="2B4B8B53"/>
    <w:multiLevelType w:val="hybridMultilevel"/>
    <w:lvl w:ilvl="0">
      <w:lvlJc w:val="left"/>
      <w:lvlText w:val="%1."/>
      <w:numFmt w:val="upperLetter"/>
      <w:start w:val="4"/>
    </w:lvl>
  </w:abstractNum>
  <w:abstractNum w:abstractNumId="175">
    <w:nsid w:val="72E3413A"/>
    <w:multiLevelType w:val="hybridMultilevel"/>
    <w:lvl w:ilvl="0">
      <w:lvlJc w:val="left"/>
      <w:lvlText w:val="%1."/>
      <w:numFmt w:val="upperLetter"/>
      <w:start w:val="5"/>
    </w:lvl>
  </w:abstractNum>
  <w:abstractNum w:abstractNumId="176">
    <w:nsid w:val="116AE494"/>
    <w:multiLevelType w:val="hybridMultilevel"/>
    <w:lvl w:ilvl="0">
      <w:lvlJc w:val="left"/>
      <w:lvlText w:val="%1."/>
      <w:numFmt w:val="upperLetter"/>
      <w:start w:val="6"/>
    </w:lvl>
  </w:abstractNum>
  <w:abstractNum w:abstractNumId="177">
    <w:nsid w:val="3494B2FB"/>
    <w:multiLevelType w:val="hybridMultilevel"/>
    <w:lvl w:ilvl="0">
      <w:lvlJc w:val="left"/>
      <w:lvlText w:val="%1."/>
      <w:numFmt w:val="upperLetter"/>
      <w:start w:val="1"/>
    </w:lvl>
  </w:abstractNum>
  <w:abstractNum w:abstractNumId="178">
    <w:nsid w:val="B13A31"/>
    <w:multiLevelType w:val="hybridMultilevel"/>
    <w:lvl w:ilvl="0">
      <w:lvlJc w:val="left"/>
      <w:lvlText w:val="%1."/>
      <w:numFmt w:val="upperLetter"/>
      <w:start w:val="2"/>
    </w:lvl>
  </w:abstractNum>
  <w:abstractNum w:abstractNumId="179">
    <w:nsid w:val="64429599"/>
    <w:multiLevelType w:val="hybridMultilevel"/>
    <w:lvl w:ilvl="0">
      <w:lvlJc w:val="left"/>
      <w:lvlText w:val="•"/>
      <w:numFmt w:val="bullet"/>
      <w:start w:val="1"/>
    </w:lvl>
  </w:abstractNum>
  <w:abstractNum w:abstractNumId="180">
    <w:nsid w:val="631F1690"/>
    <w:multiLevelType w:val="hybridMultilevel"/>
    <w:lvl w:ilvl="0">
      <w:lvlJc w:val="left"/>
      <w:lvlText w:val="•"/>
      <w:numFmt w:val="bullet"/>
      <w:start w:val="1"/>
    </w:lvl>
  </w:abstractNum>
  <w:abstractNum w:abstractNumId="181">
    <w:nsid w:val="25973E32"/>
    <w:multiLevelType w:val="hybridMultilevel"/>
    <w:lvl w:ilvl="0">
      <w:lvlJc w:val="left"/>
      <w:lvlText w:val="%1."/>
      <w:numFmt w:val="upperLetter"/>
      <w:start w:val="3"/>
    </w:lvl>
  </w:abstractNum>
  <w:abstractNum w:abstractNumId="182">
    <w:nsid w:val="EAD6F57"/>
    <w:multiLevelType w:val="hybridMultilevel"/>
    <w:lvl w:ilvl="0">
      <w:lvlJc w:val="left"/>
      <w:lvlText w:val="%1."/>
      <w:numFmt w:val="upperLetter"/>
      <w:start w:val="4"/>
    </w:lvl>
  </w:abstractNum>
  <w:abstractNum w:abstractNumId="183">
    <w:nsid w:val="6EC9D844"/>
    <w:multiLevelType w:val="hybridMultilevel"/>
    <w:lvl w:ilvl="0">
      <w:lvlJc w:val="left"/>
      <w:lvlText w:val="%1."/>
      <w:numFmt w:val="upperLetter"/>
      <w:start w:val="5"/>
    </w:lvl>
  </w:abstractNum>
  <w:abstractNum w:abstractNumId="184">
    <w:nsid w:val="5C49EAEE"/>
    <w:multiLevelType w:val="hybridMultilevel"/>
    <w:lvl w:ilvl="0">
      <w:lvlJc w:val="left"/>
      <w:lvlText w:val="%1."/>
      <w:numFmt w:val="upperLetter"/>
      <w:start w:val="6"/>
    </w:lvl>
  </w:abstractNum>
  <w:abstractNum w:abstractNumId="185">
    <w:nsid w:val="64AF49B"/>
    <w:multiLevelType w:val="hybridMultilevel"/>
    <w:lvl w:ilvl="0">
      <w:lvlJc w:val="left"/>
      <w:lvlText w:val="•"/>
      <w:numFmt w:val="bullet"/>
      <w:start w:val="1"/>
    </w:lvl>
  </w:abstractNum>
  <w:abstractNum w:abstractNumId="186">
    <w:nsid w:val="397C46BC"/>
    <w:multiLevelType w:val="hybridMultilevel"/>
    <w:lvl w:ilvl="0">
      <w:lvlJc w:val="left"/>
      <w:lvlText w:val="%1."/>
      <w:numFmt w:val="upperLetter"/>
      <w:start w:val="24"/>
    </w:lvl>
  </w:abstractNum>
  <w:abstractNum w:abstractNumId="187">
    <w:nsid w:val="7E448DE9"/>
    <w:multiLevelType w:val="hybridMultilevel"/>
    <w:lvl w:ilvl="0">
      <w:lvlJc w:val="left"/>
      <w:lvlText w:val="%1."/>
      <w:numFmt w:val="upperLetter"/>
      <w:start w:val="9"/>
    </w:lvl>
  </w:abstractNum>
  <w:abstractNum w:abstractNumId="188">
    <w:nsid w:val="5A9CC3E5"/>
    <w:multiLevelType w:val="hybridMultilevel"/>
    <w:lvl w:ilvl="0">
      <w:lvlJc w:val="left"/>
      <w:lvlText w:val="%1."/>
      <w:numFmt w:val="upperLetter"/>
      <w:start w:val="35"/>
    </w:lvl>
  </w:abstractNum>
  <w:abstractNum w:abstractNumId="189">
    <w:nsid w:val="1AFE3625"/>
    <w:multiLevelType w:val="hybridMultilevel"/>
    <w:lvl w:ilvl="0">
      <w:lvlJc w:val="left"/>
      <w:lvlText w:val="•"/>
      <w:numFmt w:val="bullet"/>
      <w:start w:val="1"/>
    </w:lvl>
  </w:abstractNum>
  <w:abstractNum w:abstractNumId="190">
    <w:nsid w:val="3CA88ECF"/>
    <w:multiLevelType w:val="hybridMultilevel"/>
    <w:lvl w:ilvl="0">
      <w:lvlJc w:val="left"/>
      <w:lvlText w:val="%1."/>
      <w:numFmt w:val="upperLetter"/>
      <w:start w:val="61"/>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20" Type="http://schemas.openxmlformats.org/officeDocument/2006/relationships/image" Target="media/image489.png"/><Relationship Id="rId521"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634" Type="http://schemas.openxmlformats.org/officeDocument/2006/relationships/image" Target="media/image602.png"/><Relationship Id="rId635" Type="http://schemas.openxmlformats.org/officeDocument/2006/relationships/image" Target="media/image603.png"/><Relationship Id="rId636" Type="http://schemas.openxmlformats.org/officeDocument/2006/relationships/image" Target="media/image604.png"/><Relationship Id="rId637" Type="http://schemas.openxmlformats.org/officeDocument/2006/relationships/image" Target="media/image605.png"/><Relationship Id="rId638" Type="http://schemas.openxmlformats.org/officeDocument/2006/relationships/image" Target="media/image606.png"/><Relationship Id="rId639" Type="http://schemas.openxmlformats.org/officeDocument/2006/relationships/image" Target="media/image607.png"/><Relationship Id="rId640" Type="http://schemas.openxmlformats.org/officeDocument/2006/relationships/image" Target="media/image608.png"/><Relationship Id="rId641" Type="http://schemas.openxmlformats.org/officeDocument/2006/relationships/image" Target="media/image609.png"/><Relationship Id="rId642" Type="http://schemas.openxmlformats.org/officeDocument/2006/relationships/image" Target="media/image610.png"/><Relationship Id="rId643" Type="http://schemas.openxmlformats.org/officeDocument/2006/relationships/image" Target="media/image611.png"/><Relationship Id="rId644" Type="http://schemas.openxmlformats.org/officeDocument/2006/relationships/image" Target="media/image612.png"/><Relationship Id="rId645" Type="http://schemas.openxmlformats.org/officeDocument/2006/relationships/image" Target="media/image613.png"/><Relationship Id="rId646" Type="http://schemas.openxmlformats.org/officeDocument/2006/relationships/image" Target="media/image614.png"/><Relationship Id="rId647" Type="http://schemas.openxmlformats.org/officeDocument/2006/relationships/image" Target="media/image615.png"/><Relationship Id="rId648" Type="http://schemas.openxmlformats.org/officeDocument/2006/relationships/image" Target="media/image616.png"/><Relationship Id="rId649" Type="http://schemas.openxmlformats.org/officeDocument/2006/relationships/image" Target="media/image617.png"/><Relationship Id="rId650" Type="http://schemas.openxmlformats.org/officeDocument/2006/relationships/image" Target="media/image618.png"/><Relationship Id="rId651"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6" Type="http://schemas.openxmlformats.org/officeDocument/2006/relationships/image" Target="media/image624.png"/><Relationship Id="rId657" Type="http://schemas.openxmlformats.org/officeDocument/2006/relationships/image" Target="media/image625.png"/><Relationship Id="rId658" Type="http://schemas.openxmlformats.org/officeDocument/2006/relationships/image" Target="media/image626.png"/><Relationship Id="rId659" Type="http://schemas.openxmlformats.org/officeDocument/2006/relationships/image" Target="media/image627.png"/><Relationship Id="rId660" Type="http://schemas.openxmlformats.org/officeDocument/2006/relationships/image" Target="media/image628.png"/><Relationship Id="rId661" Type="http://schemas.openxmlformats.org/officeDocument/2006/relationships/image" Target="media/image629.png"/><Relationship Id="rId662" Type="http://schemas.openxmlformats.org/officeDocument/2006/relationships/image" Target="media/image630.png"/><Relationship Id="rId663" Type="http://schemas.openxmlformats.org/officeDocument/2006/relationships/image" Target="media/image631.png"/><Relationship Id="rId664" Type="http://schemas.openxmlformats.org/officeDocument/2006/relationships/image" Target="media/image632.png"/><Relationship Id="rId665" Type="http://schemas.openxmlformats.org/officeDocument/2006/relationships/image" Target="media/image633.png"/><Relationship Id="rId494" Type="http://schemas.openxmlformats.org/officeDocument/2006/relationships/hyperlink" Target="https://www.sec.gov/Archives/edgar/data/1861123/000119312526041201/d49647dex31.htm" TargetMode="External"/><Relationship Id="rId495" Type="http://schemas.openxmlformats.org/officeDocument/2006/relationships/hyperlink" Target="https://www.sec.gov/Archives/edgar/data/1861123/000119312526008888/d903262dex34.htm" TargetMode="External"/><Relationship Id="rId496" Type="http://schemas.openxmlformats.org/officeDocument/2006/relationships/hyperlink" Target="https://www.sec.gov/Archives/edgar/data/1861123/000119312526008888/d903262dex41.htm" TargetMode="External"/><Relationship Id="rId497" Type="http://schemas.openxmlformats.org/officeDocument/2006/relationships/hyperlink" Target="https://www.sec.gov/Archives/edgar/data/1861123/000119312526008888/d903262dex42.htm" TargetMode="External"/><Relationship Id="rId498" Type="http://schemas.openxmlformats.org/officeDocument/2006/relationships/hyperlink" Target="https://www.sec.gov/Archives/edgar/data/1861123/000119312526008888/d903262dex43.htm" TargetMode="External"/><Relationship Id="rId499" Type="http://schemas.openxmlformats.org/officeDocument/2006/relationships/hyperlink" Target="https://www.sec.gov/Archives/edgar/data/1861123/000119312526025565/d903262dex101.htm" TargetMode="External"/><Relationship Id="rId500" Type="http://schemas.openxmlformats.org/officeDocument/2006/relationships/hyperlink" Target="https://www.sec.gov/Archives/edgar/data/1861123/000119312526025565/d903262dex103.htm" TargetMode="External"/><Relationship Id="rId501" Type="http://schemas.openxmlformats.org/officeDocument/2006/relationships/hyperlink" Target="https://www.sec.gov/Archives/edgar/data/1861123/000119312526025565/d903262dex104.htm" TargetMode="External"/><Relationship Id="rId502" Type="http://schemas.openxmlformats.org/officeDocument/2006/relationships/hyperlink" Target="https://www.sec.gov/Archives/edgar/data/1861123/000119312526025565/d903262dex105.htm" TargetMode="External"/><Relationship Id="rId503" Type="http://schemas.openxmlformats.org/officeDocument/2006/relationships/hyperlink" Target="https://www.sec.gov/Archives/edgar/data/1861123/000119312526008888/d903262dex104.htm" TargetMode="External"/><Relationship Id="rId504" Type="http://schemas.openxmlformats.org/officeDocument/2006/relationships/hyperlink" Target="https://www.sec.gov/Archives/edgar/data/1861123/000119312526025565/d903262dex107.htm" TargetMode="External"/><Relationship Id="rId505" Type="http://schemas.openxmlformats.org/officeDocument/2006/relationships/hyperlink" Target="https://www.sec.gov/Archives/edgar/data/1861123/000119312526025565/d903262dex108.htm" TargetMode="External"/><Relationship Id="rId506" Type="http://schemas.openxmlformats.org/officeDocument/2006/relationships/hyperlink" Target="https://www.sec.gov/Archives/edgar/data/1861123/000119312526025565/d903262dex109.htm" TargetMode="External"/><Relationship Id="rId509" Type="http://schemas.openxmlformats.org/officeDocument/2006/relationships/hyperlink" Target="https://www.sec.gov/Archives/edgar/data/1861123/000119312526008888/d903262dex108.htm" TargetMode="External"/><Relationship Id="rId510" Type="http://schemas.openxmlformats.org/officeDocument/2006/relationships/hyperlink" Target="https://www.sec.gov/Archives/edgar/data/1861123/000119312526008888/d903262dex109.htm" TargetMode="External"/><Relationship Id="rId511" Type="http://schemas.openxmlformats.org/officeDocument/2006/relationships/hyperlink" Target="https://www.sec.gov/Archives/edgar/data/1861123/000119312526008888/d903262dex1010.htm" TargetMode="External"/><Relationship Id="rId512" Type="http://schemas.openxmlformats.org/officeDocument/2006/relationships/hyperlink" Target="https://www.sec.gov/Archives/edgar/data/1861123/000119312526008888/d903262dex1011.htm" TargetMode="External"/><Relationship Id="rId513" Type="http://schemas.openxmlformats.org/officeDocument/2006/relationships/hyperlink" Target="https://www.sec.gov/Archives/edgar/data/1861123/000119312526008888/d903262dex1012.htm" TargetMode="External"/><Relationship Id="rId514" Type="http://schemas.openxmlformats.org/officeDocument/2006/relationships/hyperlink" Target="https://www.sec.gov/Archives/edgar/data/1861123/000119312526008888/d903262dex1013.htm" TargetMode="External"/><Relationship Id="rId515" Type="http://schemas.openxmlformats.org/officeDocument/2006/relationships/hyperlink" Target="https://www.sec.gov/Archives/edgar/data/1861123/000119312526008888/d903262dex1017.htm" TargetMode="External"/><Relationship Id="rId516" Type="http://schemas.openxmlformats.org/officeDocument/2006/relationships/hyperlink" Target="https://www.sec.gov/Archives/edgar/data/1861123/000119312526008888/d903262dex1018.htm" TargetMode="External"/><Relationship Id="rId517" Type="http://schemas.openxmlformats.org/officeDocument/2006/relationships/hyperlink" Target="https://www.sec.gov/Archives/edgar/data/1861123/000119312526008888/d903262dex1014.htm" TargetMode="External"/><Relationship Id="rId518" Type="http://schemas.openxmlformats.org/officeDocument/2006/relationships/hyperlink" Target="https://www.sec.gov/Archives/edgar/data/1861123/000119312526008888/d903262dex1015.htm" TargetMode="External"/><Relationship Id="rId519" Type="http://schemas.openxmlformats.org/officeDocument/2006/relationships/hyperlink" Target="https://www.sec.gov/Archives/edgar/data/1861123/000119312526008888/d903262dex1016.htm" TargetMode="External"/><Relationship Id="rId522" Type="http://schemas.openxmlformats.org/officeDocument/2006/relationships/hyperlink" Target="https://www.sec.gov/Archives/edgar/data/1861123/000119312526008888/d90326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2026-03-30T06:16:29Z</dcterms:created>
  <dcterms:modified xsi:type="dcterms:W3CDTF">2026-03-30T06:16:29Z</dcterms:modified>
</cp:coreProperties>
</file>